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2880" w:firstLine="0"/>
        <w:rPr>
          <w:b w:val="1"/>
          <w:smallCaps w:val="1"/>
        </w:rPr>
      </w:pPr>
      <w:r w:rsidDel="00000000" w:rsidR="00000000" w:rsidRPr="00000000">
        <w:rPr>
          <w:rtl w:val="0"/>
        </w:rPr>
      </w:r>
    </w:p>
    <w:p w:rsidR="00000000" w:rsidDel="00000000" w:rsidP="00000000" w:rsidRDefault="00000000" w:rsidRPr="00000000" w14:paraId="00000002">
      <w:pPr>
        <w:ind w:left="2880" w:firstLine="0"/>
        <w:rPr>
          <w:b w:val="1"/>
          <w:smallCaps w:val="1"/>
        </w:rPr>
      </w:pPr>
      <w:r w:rsidDel="00000000" w:rsidR="00000000" w:rsidRPr="00000000">
        <w:rPr>
          <w:rtl w:val="0"/>
        </w:rPr>
      </w:r>
    </w:p>
    <w:p w:rsidR="00000000" w:rsidDel="00000000" w:rsidP="00000000" w:rsidRDefault="00000000" w:rsidRPr="00000000" w14:paraId="00000003">
      <w:pPr>
        <w:spacing w:before="240" w:lineRule="auto"/>
        <w:jc w:val="center"/>
        <w:rPr>
          <w:b w:val="1"/>
          <w:smallCaps w:val="1"/>
        </w:rPr>
      </w:pPr>
      <w:bookmarkStart w:colFirst="0" w:colLast="0" w:name="_heading=h.gjdgxs" w:id="0"/>
      <w:bookmarkEnd w:id="0"/>
      <w:r w:rsidDel="00000000" w:rsidR="00000000" w:rsidRPr="00000000">
        <w:rPr>
          <w:b w:val="1"/>
          <w:smallCaps w:val="1"/>
          <w:rtl w:val="0"/>
        </w:rPr>
        <w:t xml:space="preserve">   THE MINISTER FOR THE CABINET OFFICE ON BEHALF OF THE CROWN</w:t>
      </w:r>
    </w:p>
    <w:p w:rsidR="00000000" w:rsidDel="00000000" w:rsidP="00000000" w:rsidRDefault="00000000" w:rsidRPr="00000000" w14:paraId="00000004">
      <w:pPr>
        <w:spacing w:before="240" w:line="276"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5">
      <w:pPr>
        <w:spacing w:before="240" w:lineRule="auto"/>
        <w:jc w:val="center"/>
        <w:rPr>
          <w:b w:val="1"/>
          <w:smallCaps w:val="1"/>
        </w:rPr>
      </w:pPr>
      <w:bookmarkStart w:colFirst="0" w:colLast="0" w:name="_heading=h.5zz3reufwnd2" w:id="1"/>
      <w:bookmarkEnd w:id="1"/>
      <w:r w:rsidDel="00000000" w:rsidR="00000000" w:rsidRPr="00000000">
        <w:rPr>
          <w:rtl w:val="0"/>
        </w:rPr>
      </w:r>
    </w:p>
    <w:p w:rsidR="00000000" w:rsidDel="00000000" w:rsidP="00000000" w:rsidRDefault="00000000" w:rsidRPr="00000000" w14:paraId="00000006">
      <w:pPr>
        <w:ind w:left="2880" w:firstLine="0"/>
        <w:rPr>
          <w:b w:val="1"/>
          <w:smallCaps w:val="1"/>
        </w:rPr>
      </w:pPr>
      <w:r w:rsidDel="00000000" w:rsidR="00000000" w:rsidRPr="00000000">
        <w:rPr>
          <w:rtl w:val="0"/>
        </w:rPr>
      </w:r>
    </w:p>
    <w:p w:rsidR="00000000" w:rsidDel="00000000" w:rsidP="00000000" w:rsidRDefault="00000000" w:rsidRPr="00000000" w14:paraId="00000007">
      <w:pPr>
        <w:spacing w:before="240" w:line="276"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8">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9">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A">
      <w:pPr>
        <w:spacing w:before="240" w:line="276" w:lineRule="auto"/>
        <w:jc w:val="center"/>
        <w:rPr>
          <w:b w:val="1"/>
          <w:smallCaps w:val="1"/>
          <w:highlight w:val="white"/>
        </w:rPr>
      </w:pPr>
      <w:r w:rsidDel="00000000" w:rsidR="00000000" w:rsidRPr="00000000">
        <w:rPr>
          <w:b w:val="1"/>
          <w:smallCaps w:val="1"/>
          <w:highlight w:val="white"/>
          <w:rtl w:val="0"/>
        </w:rPr>
        <w:t xml:space="preserve">ATALIAN SERVEST LIMITED</w:t>
      </w:r>
    </w:p>
    <w:p w:rsidR="00000000" w:rsidDel="00000000" w:rsidP="00000000" w:rsidRDefault="00000000" w:rsidRPr="00000000" w14:paraId="0000000B">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C">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D">
      <w:pPr>
        <w:spacing w:after="0" w:lineRule="auto"/>
        <w:rPr>
          <w:b w:val="1"/>
          <w:sz w:val="20"/>
          <w:szCs w:val="20"/>
        </w:rPr>
      </w:pPr>
      <w:r w:rsidDel="00000000" w:rsidR="00000000" w:rsidRPr="00000000">
        <w:rPr>
          <w:rtl w:val="0"/>
        </w:rPr>
      </w:r>
    </w:p>
    <w:p w:rsidR="00000000" w:rsidDel="00000000" w:rsidP="00000000" w:rsidRDefault="00000000" w:rsidRPr="00000000" w14:paraId="0000000E">
      <w:pPr>
        <w:spacing w:after="0" w:lineRule="auto"/>
        <w:rPr>
          <w:b w:val="1"/>
          <w:sz w:val="20"/>
          <w:szCs w:val="20"/>
        </w:rPr>
      </w:pPr>
      <w:r w:rsidDel="00000000" w:rsidR="00000000" w:rsidRPr="00000000">
        <w:rPr>
          <w:rtl w:val="0"/>
        </w:rPr>
      </w:r>
    </w:p>
    <w:p w:rsidR="00000000" w:rsidDel="00000000" w:rsidP="00000000" w:rsidRDefault="00000000" w:rsidRPr="00000000" w14:paraId="0000000F">
      <w:pPr>
        <w:spacing w:after="0" w:lineRule="auto"/>
        <w:rPr>
          <w:b w:val="1"/>
          <w:sz w:val="20"/>
          <w:szCs w:val="20"/>
        </w:rPr>
      </w:pPr>
      <w:r w:rsidDel="00000000" w:rsidR="00000000" w:rsidRPr="00000000">
        <w:rPr>
          <w:rtl w:val="0"/>
        </w:rPr>
      </w:r>
    </w:p>
    <w:p w:rsidR="00000000" w:rsidDel="00000000" w:rsidP="00000000" w:rsidRDefault="00000000" w:rsidRPr="00000000" w14:paraId="00000010">
      <w:pPr>
        <w:spacing w:after="0" w:lineRule="auto"/>
        <w:rPr>
          <w:b w:val="1"/>
          <w:sz w:val="20"/>
          <w:szCs w:val="20"/>
        </w:rPr>
      </w:pPr>
      <w:r w:rsidDel="00000000" w:rsidR="00000000" w:rsidRPr="00000000">
        <w:rPr>
          <w:rtl w:val="0"/>
        </w:rPr>
      </w:r>
    </w:p>
    <w:p w:rsidR="00000000" w:rsidDel="00000000" w:rsidP="00000000" w:rsidRDefault="00000000" w:rsidRPr="00000000" w14:paraId="00000011">
      <w:pPr>
        <w:spacing w:after="0" w:lineRule="auto"/>
        <w:rPr>
          <w:b w:val="1"/>
          <w:sz w:val="20"/>
          <w:szCs w:val="20"/>
        </w:rPr>
      </w:pPr>
      <w:r w:rsidDel="00000000" w:rsidR="00000000" w:rsidRPr="00000000">
        <w:rPr>
          <w:rtl w:val="0"/>
        </w:rPr>
      </w:r>
    </w:p>
    <w:p w:rsidR="00000000" w:rsidDel="00000000" w:rsidP="00000000" w:rsidRDefault="00000000" w:rsidRPr="00000000" w14:paraId="00000012">
      <w:pPr>
        <w:spacing w:after="0" w:lineRule="auto"/>
        <w:rPr>
          <w:b w:val="1"/>
          <w:sz w:val="20"/>
          <w:szCs w:val="20"/>
        </w:rPr>
      </w:pPr>
      <w:r w:rsidDel="00000000" w:rsidR="00000000" w:rsidRPr="00000000">
        <w:rPr>
          <w:rtl w:val="0"/>
        </w:rPr>
      </w:r>
    </w:p>
    <w:p w:rsidR="00000000" w:rsidDel="00000000" w:rsidP="00000000" w:rsidRDefault="00000000" w:rsidRPr="00000000" w14:paraId="00000013">
      <w:pPr>
        <w:spacing w:after="0" w:lineRule="auto"/>
        <w:rPr>
          <w:b w:val="1"/>
          <w:sz w:val="20"/>
          <w:szCs w:val="20"/>
        </w:rPr>
      </w:pPr>
      <w:r w:rsidDel="00000000" w:rsidR="00000000" w:rsidRPr="00000000">
        <w:rPr>
          <w:rtl w:val="0"/>
        </w:rPr>
      </w:r>
    </w:p>
    <w:p w:rsidR="00000000" w:rsidDel="00000000" w:rsidP="00000000" w:rsidRDefault="00000000" w:rsidRPr="00000000" w14:paraId="00000014">
      <w:pPr>
        <w:spacing w:after="0" w:lineRule="auto"/>
        <w:rPr>
          <w:b w:val="1"/>
          <w:sz w:val="20"/>
          <w:szCs w:val="20"/>
        </w:rPr>
      </w:pPr>
      <w:r w:rsidDel="00000000" w:rsidR="00000000" w:rsidRPr="00000000">
        <w:rPr>
          <w:rtl w:val="0"/>
        </w:rPr>
      </w:r>
    </w:p>
    <w:p w:rsidR="00000000" w:rsidDel="00000000" w:rsidP="00000000" w:rsidRDefault="00000000" w:rsidRPr="00000000" w14:paraId="00000015">
      <w:pPr>
        <w:spacing w:after="0" w:lineRule="auto"/>
        <w:rPr>
          <w:b w:val="1"/>
          <w:sz w:val="20"/>
          <w:szCs w:val="20"/>
        </w:rPr>
      </w:pPr>
      <w:r w:rsidDel="00000000" w:rsidR="00000000" w:rsidRPr="00000000">
        <w:rPr>
          <w:rtl w:val="0"/>
        </w:rPr>
      </w:r>
    </w:p>
    <w:p w:rsidR="00000000" w:rsidDel="00000000" w:rsidP="00000000" w:rsidRDefault="00000000" w:rsidRPr="00000000" w14:paraId="00000016">
      <w:pPr>
        <w:spacing w:after="0" w:lineRule="auto"/>
        <w:rPr>
          <w:b w:val="1"/>
          <w:sz w:val="20"/>
          <w:szCs w:val="20"/>
        </w:rPr>
      </w:pPr>
      <w:r w:rsidDel="00000000" w:rsidR="00000000" w:rsidRPr="00000000">
        <w:rPr>
          <w:rtl w:val="0"/>
        </w:rPr>
      </w:r>
    </w:p>
    <w:p w:rsidR="00000000" w:rsidDel="00000000" w:rsidP="00000000" w:rsidRDefault="00000000" w:rsidRPr="00000000" w14:paraId="00000017">
      <w:pPr>
        <w:spacing w:after="0" w:lineRule="auto"/>
        <w:rPr>
          <w:b w:val="1"/>
          <w:sz w:val="20"/>
          <w:szCs w:val="20"/>
        </w:rPr>
      </w:pPr>
      <w:r w:rsidDel="00000000" w:rsidR="00000000" w:rsidRPr="00000000">
        <w:rPr>
          <w:rtl w:val="0"/>
        </w:rPr>
      </w:r>
    </w:p>
    <w:p w:rsidR="00000000" w:rsidDel="00000000" w:rsidP="00000000" w:rsidRDefault="00000000" w:rsidRPr="00000000" w14:paraId="00000018">
      <w:pPr>
        <w:spacing w:after="0" w:lineRule="auto"/>
        <w:rPr>
          <w:b w:val="1"/>
          <w:sz w:val="20"/>
          <w:szCs w:val="20"/>
        </w:rPr>
      </w:pPr>
      <w:r w:rsidDel="00000000" w:rsidR="00000000" w:rsidRPr="00000000">
        <w:rPr>
          <w:rtl w:val="0"/>
        </w:rPr>
      </w:r>
    </w:p>
    <w:p w:rsidR="00000000" w:rsidDel="00000000" w:rsidP="00000000" w:rsidRDefault="00000000" w:rsidRPr="00000000" w14:paraId="00000019">
      <w:pPr>
        <w:spacing w:after="0" w:lineRule="auto"/>
        <w:rPr>
          <w:b w:val="1"/>
          <w:sz w:val="20"/>
          <w:szCs w:val="20"/>
        </w:rPr>
      </w:pPr>
      <w:r w:rsidDel="00000000" w:rsidR="00000000" w:rsidRPr="00000000">
        <w:rPr>
          <w:rtl w:val="0"/>
        </w:rPr>
      </w:r>
    </w:p>
    <w:p w:rsidR="00000000" w:rsidDel="00000000" w:rsidP="00000000" w:rsidRDefault="00000000" w:rsidRPr="00000000" w14:paraId="0000001A">
      <w:pPr>
        <w:spacing w:after="0" w:lineRule="auto"/>
        <w:rPr>
          <w:b w:val="1"/>
          <w:sz w:val="20"/>
          <w:szCs w:val="20"/>
        </w:rPr>
      </w:pPr>
      <w:r w:rsidDel="00000000" w:rsidR="00000000" w:rsidRPr="00000000">
        <w:rPr>
          <w:rtl w:val="0"/>
        </w:rPr>
      </w:r>
    </w:p>
    <w:p w:rsidR="00000000" w:rsidDel="00000000" w:rsidP="00000000" w:rsidRDefault="00000000" w:rsidRPr="00000000" w14:paraId="0000001B">
      <w:pPr>
        <w:spacing w:after="0" w:lineRule="auto"/>
        <w:rPr>
          <w:b w:val="1"/>
          <w:sz w:val="20"/>
          <w:szCs w:val="20"/>
        </w:rPr>
      </w:pPr>
      <w:r w:rsidDel="00000000" w:rsidR="00000000" w:rsidRPr="00000000">
        <w:rPr>
          <w:rtl w:val="0"/>
        </w:rPr>
      </w:r>
    </w:p>
    <w:p w:rsidR="00000000" w:rsidDel="00000000" w:rsidP="00000000" w:rsidRDefault="00000000" w:rsidRPr="00000000" w14:paraId="0000001C">
      <w:pPr>
        <w:spacing w:after="0" w:lineRule="auto"/>
        <w:rPr>
          <w:b w:val="1"/>
          <w:sz w:val="20"/>
          <w:szCs w:val="20"/>
        </w:rPr>
      </w:pPr>
      <w:r w:rsidDel="00000000" w:rsidR="00000000" w:rsidRPr="00000000">
        <w:rPr>
          <w:rtl w:val="0"/>
        </w:rPr>
      </w:r>
    </w:p>
    <w:p w:rsidR="00000000" w:rsidDel="00000000" w:rsidP="00000000" w:rsidRDefault="00000000" w:rsidRPr="00000000" w14:paraId="0000001D">
      <w:pPr>
        <w:spacing w:after="0" w:lineRule="auto"/>
        <w:rPr>
          <w:b w:val="1"/>
          <w:sz w:val="20"/>
          <w:szCs w:val="20"/>
        </w:rPr>
      </w:pPr>
      <w:r w:rsidDel="00000000" w:rsidR="00000000" w:rsidRPr="00000000">
        <w:rPr>
          <w:rtl w:val="0"/>
        </w:rPr>
      </w:r>
    </w:p>
    <w:p w:rsidR="00000000" w:rsidDel="00000000" w:rsidP="00000000" w:rsidRDefault="00000000" w:rsidRPr="00000000" w14:paraId="0000001E">
      <w:pPr>
        <w:spacing w:after="0" w:lineRule="auto"/>
        <w:rPr>
          <w:b w:val="1"/>
          <w:sz w:val="20"/>
          <w:szCs w:val="20"/>
        </w:rPr>
      </w:pPr>
      <w:r w:rsidDel="00000000" w:rsidR="00000000" w:rsidRPr="00000000">
        <w:rPr>
          <w:rtl w:val="0"/>
        </w:rPr>
      </w:r>
    </w:p>
    <w:p w:rsidR="00000000" w:rsidDel="00000000" w:rsidP="00000000" w:rsidRDefault="00000000" w:rsidRPr="00000000" w14:paraId="0000001F">
      <w:pPr>
        <w:spacing w:after="0" w:lineRule="auto"/>
        <w:rPr>
          <w:b w:val="1"/>
          <w:sz w:val="20"/>
          <w:szCs w:val="20"/>
        </w:rPr>
      </w:pPr>
      <w:r w:rsidDel="00000000" w:rsidR="00000000" w:rsidRPr="00000000">
        <w:rPr>
          <w:rtl w:val="0"/>
        </w:rPr>
      </w:r>
    </w:p>
    <w:p w:rsidR="00000000" w:rsidDel="00000000" w:rsidP="00000000" w:rsidRDefault="00000000" w:rsidRPr="00000000" w14:paraId="00000020">
      <w:pPr>
        <w:spacing w:after="0" w:lineRule="auto"/>
        <w:rPr>
          <w:b w:val="1"/>
          <w:sz w:val="20"/>
          <w:szCs w:val="20"/>
        </w:rPr>
      </w:pPr>
      <w:r w:rsidDel="00000000" w:rsidR="00000000" w:rsidRPr="00000000">
        <w:rPr>
          <w:rtl w:val="0"/>
        </w:rPr>
      </w:r>
    </w:p>
    <w:p w:rsidR="00000000" w:rsidDel="00000000" w:rsidP="00000000" w:rsidRDefault="00000000" w:rsidRPr="00000000" w14:paraId="00000021">
      <w:pPr>
        <w:spacing w:after="0" w:lineRule="auto"/>
        <w:rPr>
          <w:b w:val="1"/>
          <w:sz w:val="20"/>
          <w:szCs w:val="20"/>
        </w:rPr>
      </w:pPr>
      <w:r w:rsidDel="00000000" w:rsidR="00000000" w:rsidRPr="00000000">
        <w:rPr>
          <w:rtl w:val="0"/>
        </w:rPr>
      </w:r>
    </w:p>
    <w:p w:rsidR="00000000" w:rsidDel="00000000" w:rsidP="00000000" w:rsidRDefault="00000000" w:rsidRPr="00000000" w14:paraId="00000022">
      <w:pPr>
        <w:spacing w:after="0" w:lineRule="auto"/>
        <w:rPr>
          <w:b w:val="1"/>
          <w:sz w:val="20"/>
          <w:szCs w:val="20"/>
        </w:rPr>
      </w:pPr>
      <w:r w:rsidDel="00000000" w:rsidR="00000000" w:rsidRPr="00000000">
        <w:rPr>
          <w:rtl w:val="0"/>
        </w:rPr>
      </w:r>
    </w:p>
    <w:p w:rsidR="00000000" w:rsidDel="00000000" w:rsidP="00000000" w:rsidRDefault="00000000" w:rsidRPr="00000000" w14:paraId="00000023">
      <w:pPr>
        <w:spacing w:after="0" w:lineRule="auto"/>
        <w:rPr>
          <w:b w:val="1"/>
          <w:sz w:val="20"/>
          <w:szCs w:val="20"/>
        </w:rPr>
      </w:pPr>
      <w:r w:rsidDel="00000000" w:rsidR="00000000" w:rsidRPr="00000000">
        <w:rPr>
          <w:rtl w:val="0"/>
        </w:rPr>
      </w:r>
    </w:p>
    <w:p w:rsidR="00000000" w:rsidDel="00000000" w:rsidP="00000000" w:rsidRDefault="00000000" w:rsidRPr="00000000" w14:paraId="00000024">
      <w:pPr>
        <w:spacing w:after="0" w:lineRule="auto"/>
        <w:rPr>
          <w:b w:val="1"/>
          <w:sz w:val="20"/>
          <w:szCs w:val="20"/>
        </w:rPr>
      </w:pPr>
      <w:r w:rsidDel="00000000" w:rsidR="00000000" w:rsidRPr="00000000">
        <w:rPr>
          <w:rtl w:val="0"/>
        </w:rPr>
      </w:r>
    </w:p>
    <w:p w:rsidR="00000000" w:rsidDel="00000000" w:rsidP="00000000" w:rsidRDefault="00000000" w:rsidRPr="00000000" w14:paraId="00000025">
      <w:pPr>
        <w:spacing w:after="0" w:lineRule="auto"/>
        <w:rPr>
          <w:b w:val="1"/>
          <w:sz w:val="20"/>
          <w:szCs w:val="20"/>
        </w:rPr>
      </w:pPr>
      <w:r w:rsidDel="00000000" w:rsidR="00000000" w:rsidRPr="00000000">
        <w:rPr>
          <w:rtl w:val="0"/>
        </w:rPr>
      </w:r>
    </w:p>
    <w:p w:rsidR="00000000" w:rsidDel="00000000" w:rsidP="00000000" w:rsidRDefault="00000000" w:rsidRPr="00000000" w14:paraId="00000026">
      <w:pPr>
        <w:spacing w:after="0" w:lineRule="auto"/>
        <w:rPr>
          <w:b w:val="1"/>
          <w:sz w:val="20"/>
          <w:szCs w:val="20"/>
        </w:rPr>
      </w:pPr>
      <w:r w:rsidDel="00000000" w:rsidR="00000000" w:rsidRPr="00000000">
        <w:rPr>
          <w:rtl w:val="0"/>
        </w:rPr>
      </w:r>
    </w:p>
    <w:p w:rsidR="00000000" w:rsidDel="00000000" w:rsidP="00000000" w:rsidRDefault="00000000" w:rsidRPr="00000000" w14:paraId="00000027">
      <w:pPr>
        <w:spacing w:after="0" w:lineRule="auto"/>
        <w:rPr>
          <w:b w:val="1"/>
          <w:sz w:val="20"/>
          <w:szCs w:val="20"/>
        </w:rPr>
      </w:pPr>
      <w:r w:rsidDel="00000000" w:rsidR="00000000" w:rsidRPr="00000000">
        <w:rPr>
          <w:rtl w:val="0"/>
        </w:rPr>
      </w:r>
    </w:p>
    <w:p w:rsidR="00000000" w:rsidDel="00000000" w:rsidP="00000000" w:rsidRDefault="00000000" w:rsidRPr="00000000" w14:paraId="00000028">
      <w:pPr>
        <w:spacing w:after="0" w:lineRule="auto"/>
        <w:rPr>
          <w:b w:val="1"/>
          <w:sz w:val="20"/>
          <w:szCs w:val="20"/>
        </w:rPr>
      </w:pPr>
      <w:r w:rsidDel="00000000" w:rsidR="00000000" w:rsidRPr="00000000">
        <w:rPr>
          <w:rtl w:val="0"/>
        </w:rPr>
      </w:r>
    </w:p>
    <w:p w:rsidR="00000000" w:rsidDel="00000000" w:rsidP="00000000" w:rsidRDefault="00000000" w:rsidRPr="00000000" w14:paraId="00000029">
      <w:pPr>
        <w:spacing w:after="0" w:lineRule="auto"/>
        <w:rPr>
          <w:b w:val="1"/>
          <w:sz w:val="20"/>
          <w:szCs w:val="20"/>
        </w:rPr>
      </w:pPr>
      <w:r w:rsidDel="00000000" w:rsidR="00000000" w:rsidRPr="00000000">
        <w:rPr>
          <w:rtl w:val="0"/>
        </w:rPr>
      </w:r>
    </w:p>
    <w:p w:rsidR="00000000" w:rsidDel="00000000" w:rsidP="00000000" w:rsidRDefault="00000000" w:rsidRPr="00000000" w14:paraId="0000002A">
      <w:pPr>
        <w:spacing w:after="0" w:lineRule="auto"/>
        <w:rPr>
          <w:b w:val="1"/>
          <w:sz w:val="20"/>
          <w:szCs w:val="20"/>
        </w:rPr>
      </w:pPr>
      <w:r w:rsidDel="00000000" w:rsidR="00000000" w:rsidRPr="00000000">
        <w:rPr>
          <w:rtl w:val="0"/>
        </w:rPr>
      </w:r>
    </w:p>
    <w:p w:rsidR="00000000" w:rsidDel="00000000" w:rsidP="00000000" w:rsidRDefault="00000000" w:rsidRPr="00000000" w14:paraId="0000002B">
      <w:pPr>
        <w:spacing w:after="0" w:lineRule="auto"/>
        <w:rPr>
          <w:b w:val="1"/>
          <w:sz w:val="20"/>
          <w:szCs w:val="20"/>
        </w:rPr>
      </w:pPr>
      <w:r w:rsidDel="00000000" w:rsidR="00000000" w:rsidRPr="00000000">
        <w:rPr>
          <w:rtl w:val="0"/>
        </w:rPr>
      </w:r>
    </w:p>
    <w:p w:rsidR="00000000" w:rsidDel="00000000" w:rsidP="00000000" w:rsidRDefault="00000000" w:rsidRPr="00000000" w14:paraId="0000002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b w:val="1"/>
          <w:smallCaps w:val="1"/>
          <w:rtl w:val="0"/>
        </w:rPr>
        <w:t xml:space="preserve">C</w:t>
      </w: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ALL-OFF SCHEDULE 2</w:t>
      </w:r>
    </w:p>
    <w:p w:rsidR="00000000" w:rsidDel="00000000" w:rsidP="00000000" w:rsidRDefault="00000000" w:rsidRPr="00000000" w14:paraId="0000002D">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STAFF TRANSFER</w:t>
      </w:r>
    </w:p>
    <w:p w:rsidR="00000000" w:rsidDel="00000000" w:rsidP="00000000" w:rsidRDefault="00000000" w:rsidRPr="00000000" w14:paraId="0000002E">
      <w:pPr>
        <w:keepNext w:val="1"/>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INTERPRETATION</w:t>
      </w:r>
    </w:p>
    <w:p w:rsidR="00000000" w:rsidDel="00000000" w:rsidP="00000000" w:rsidRDefault="00000000" w:rsidRPr="00000000" w14:paraId="0000002F">
      <w:pPr>
        <w:ind w:left="357" w:firstLine="0"/>
        <w:rPr>
          <w:b w:val="1"/>
        </w:rPr>
      </w:pPr>
      <w:r w:rsidDel="00000000" w:rsidR="00000000" w:rsidRPr="00000000">
        <w:rPr>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the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r w:rsidDel="00000000" w:rsidR="00000000" w:rsidRPr="00000000">
        <w:rPr>
          <w:rtl w:val="0"/>
        </w:rPr>
      </w:r>
    </w:p>
    <w:p w:rsidR="00000000" w:rsidDel="00000000" w:rsidP="00000000" w:rsidRDefault="00000000" w:rsidRPr="00000000" w14:paraId="00000030">
      <w:pPr>
        <w:keepNext w:val="1"/>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APPLICATION OF THIS SCHEDULE</w:t>
      </w:r>
    </w:p>
    <w:p w:rsidR="00000000" w:rsidDel="00000000" w:rsidP="00000000" w:rsidRDefault="00000000" w:rsidRPr="00000000" w14:paraId="00000031">
      <w:pPr>
        <w:keepNext w:val="1"/>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Parts of this Schedule which shall apply to the Contract are specified in the Buyer Contract Details.</w:t>
      </w:r>
    </w:p>
    <w:p w:rsidR="00000000" w:rsidDel="00000000" w:rsidP="00000000" w:rsidRDefault="00000000" w:rsidRPr="00000000" w14:paraId="00000032">
      <w:pPr>
        <w:keepNext w:val="1"/>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this Schedule, the following words have the following meanings:</w:t>
      </w:r>
    </w:p>
    <w:tbl>
      <w:tblPr>
        <w:tblStyle w:val="Table1"/>
        <w:tblW w:w="8538.0" w:type="dxa"/>
        <w:jc w:val="left"/>
        <w:tblInd w:w="468.0" w:type="dxa"/>
        <w:tblLayout w:type="fixed"/>
        <w:tblLook w:val="0400"/>
      </w:tblPr>
      <w:tblGrid>
        <w:gridCol w:w="1436"/>
        <w:gridCol w:w="7102"/>
        <w:tblGridChange w:id="0">
          <w:tblGrid>
            <w:gridCol w:w="1436"/>
            <w:gridCol w:w="710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3">
            <w:pPr>
              <w:spacing w:after="200" w:lineRule="auto"/>
              <w:rPr>
                <w:b w:val="1"/>
                <w:color w:val="222222"/>
              </w:rPr>
            </w:pPr>
            <w:r w:rsidDel="00000000" w:rsidR="00000000" w:rsidRPr="00000000">
              <w:rPr>
                <w:b w:val="1"/>
                <w:rtl w:val="0"/>
              </w:rPr>
              <w:t xml:space="preserve">“Former Supplier”</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supplier supplying services before the Relevant Transfer Date that are the same as or substantially similar to the Services (or any part of the Services) and shall include any subcontractor of such supplier (or any subcontractor of any such subcontractor).</w:t>
            </w:r>
          </w:p>
          <w:p w:rsidR="00000000" w:rsidDel="00000000" w:rsidP="00000000" w:rsidRDefault="00000000" w:rsidRPr="00000000" w14:paraId="00000035">
            <w:pPr>
              <w:spacing w:after="120" w:lineRule="auto"/>
              <w:ind w:left="170" w:firstLine="0"/>
              <w:jc w:val="left"/>
              <w:rPr>
                <w:color w:val="222222"/>
                <w:sz w:val="14"/>
                <w:szCs w:val="14"/>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6">
            <w:pPr>
              <w:spacing w:after="200" w:lineRule="auto"/>
              <w:rPr>
                <w:b w:val="1"/>
                <w:color w:val="222222"/>
              </w:rPr>
            </w:pPr>
            <w:r w:rsidDel="00000000" w:rsidR="00000000" w:rsidRPr="00000000">
              <w:rPr>
                <w:b w:val="1"/>
                <w:rtl w:val="0"/>
              </w:rPr>
              <w:t xml:space="preserve">“Partial Termination”</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7">
            <w:pPr>
              <w:spacing w:after="120" w:lineRule="auto"/>
              <w:jc w:val="left"/>
              <w:rPr>
                <w:color w:val="222222"/>
                <w:sz w:val="14"/>
                <w:szCs w:val="14"/>
              </w:rPr>
            </w:pPr>
            <w:r w:rsidDel="00000000" w:rsidR="00000000" w:rsidRPr="00000000">
              <w:rPr>
                <w:rtl w:val="0"/>
              </w:rPr>
              <w:t xml:space="preserve">the partial termination of the relevant Contract to the extent that it relates to the provision of any part of the Services.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8">
            <w:pPr>
              <w:spacing w:after="200" w:lineRule="auto"/>
              <w:rPr>
                <w:b w:val="1"/>
                <w:color w:val="222222"/>
              </w:rPr>
            </w:pPr>
            <w:r w:rsidDel="00000000" w:rsidR="00000000" w:rsidRPr="00000000">
              <w:rPr>
                <w:b w:val="1"/>
                <w:color w:val="222222"/>
                <w:rtl w:val="0"/>
              </w:rPr>
              <w:t xml:space="preserve">“Supplier’s Final Supplier Personnel List”</w:t>
            </w:r>
          </w:p>
        </w:tc>
        <w:tc>
          <w:tcPr>
            <w:tcBorders>
              <w:top w:color="000000" w:space="0" w:sz="8" w:val="single"/>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list provided by the Supplier of all Supplier Staff whose employment is expected to transfer under the Employment Regulations on the Service Transfer Date.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A">
            <w:pPr>
              <w:spacing w:after="200" w:lineRule="auto"/>
              <w:rPr>
                <w:b w:val="1"/>
                <w:color w:val="222222"/>
              </w:rPr>
            </w:pPr>
            <w:r w:rsidDel="00000000" w:rsidR="00000000" w:rsidRPr="00000000">
              <w:rPr>
                <w:b w:val="1"/>
                <w:color w:val="222222"/>
                <w:rtl w:val="0"/>
              </w:rPr>
              <w:t xml:space="preserve">“Supplier’s Provisional Supplier Personnel List”</w:t>
            </w:r>
          </w:p>
        </w:tc>
        <w:tc>
          <w:tcPr>
            <w:tcBorders>
              <w:top w:color="000000" w:space="0" w:sz="8" w:val="single"/>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list prepared and updated by the Supplier of all Supplier Staff who are at the date of the list engaged in or assigned to the provision of the Services or any relevant part of the Services which it is envisaged as at the date of such list will no longer be provided by the Supplier;</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C">
            <w:pPr>
              <w:spacing w:after="200" w:lineRule="auto"/>
              <w:rPr>
                <w:b w:val="1"/>
                <w:color w:val="222222"/>
              </w:rPr>
            </w:pPr>
            <w:r w:rsidDel="00000000" w:rsidR="00000000" w:rsidRPr="00000000">
              <w:rPr>
                <w:b w:val="1"/>
                <w:color w:val="222222"/>
                <w:rtl w:val="0"/>
              </w:rPr>
              <w:t xml:space="preserve">"Term"</w:t>
            </w:r>
          </w:p>
        </w:tc>
        <w:tc>
          <w:tcPr>
            <w:tcBorders>
              <w:top w:color="000000" w:space="0" w:sz="8" w:val="single"/>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222222"/>
                <w:sz w:val="22"/>
                <w:szCs w:val="22"/>
                <w:u w:val="none"/>
                <w:shd w:fill="auto" w:val="clear"/>
                <w:vertAlign w:val="baseline"/>
                <w:rtl w:val="0"/>
              </w:rPr>
              <w:t xml:space="preserve">means the period commencing on the Start Date and ending on the expiry of the Initial Period or any Extension Period or on earlier termination of the relevant Contract;</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E">
            <w:pPr>
              <w:spacing w:after="200" w:lineRule="auto"/>
              <w:rPr>
                <w:b w:val="1"/>
                <w:color w:val="222222"/>
              </w:rPr>
            </w:pPr>
            <w:r w:rsidDel="00000000" w:rsidR="00000000" w:rsidRPr="00000000">
              <w:rPr>
                <w:b w:val="1"/>
                <w:color w:val="222222"/>
                <w:rtl w:val="0"/>
              </w:rPr>
              <w:t xml:space="preserve">“Transferring Buyer Employees”</w:t>
            </w:r>
          </w:p>
        </w:tc>
        <w:tc>
          <w:tcPr>
            <w:tcBorders>
              <w:top w:color="000000" w:space="0" w:sz="8" w:val="single"/>
              <w:left w:color="000000" w:space="0" w:sz="0" w:val="nil"/>
              <w:bottom w:color="000000" w:space="0" w:sz="8" w:val="single"/>
              <w:right w:color="000000" w:space="0" w:sz="8" w:val="single"/>
            </w:tcBorders>
            <w:shd w:fill="ffffff" w:val="clear"/>
            <w:tcMar>
              <w:top w:w="0.0" w:type="dxa"/>
              <w:left w:w="108.0" w:type="dxa"/>
              <w:bottom w:w="0.0" w:type="dxa"/>
              <w:right w:w="108.0" w:type="dxa"/>
            </w:tcMa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those employees of the Buyer (or of any organization other than a Former Supplier that prior to the Start Date carries out for its own account activities that are the same as or substantially similar to the Services) to whom the Employment Regulations will apply on the Relevant Transfer Date.</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4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2">
      <w:pPr>
        <w:keepNext w:val="1"/>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References to a Replacement Supplier and/or a Replacement Subcontractor in this Schedule shall include any provider of services which are substantially similar to any of the Services and are in substitution for any of the Services (whether such provider is appointed by, or such services are provided to or by, the Buyer, any Other Contracting Authority or any Crown Body).</w:t>
      </w:r>
    </w:p>
    <w:p w:rsidR="00000000" w:rsidDel="00000000" w:rsidP="00000000" w:rsidRDefault="00000000" w:rsidRPr="00000000" w14:paraId="00000043">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44">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provisions of Paragraphs 2.1, 2.3 and 3.1 of Part A, Paragraph 3.1 of Part B, Paragraphs 1.2 and 1.5 of Part C, Part D and Paragraphs 1.4, 1.5, 2.3 and 2.5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45">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2.5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46">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47">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amendments or modifications to this Call-Off Contract may be made, and any rights created under Paragraph 2.5 above may be altered or extinguished, by the Parties without the consent of any Third Party Beneficiary.</w:t>
      </w:r>
    </w:p>
    <w:p w:rsidR="00000000" w:rsidDel="00000000" w:rsidP="00000000" w:rsidRDefault="00000000" w:rsidRPr="00000000" w14:paraId="0000004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9">
      <w:pPr>
        <w:pStyle w:val="Heading1"/>
        <w:spacing w:after="240" w:lineRule="auto"/>
        <w:jc w:val="center"/>
        <w:rPr>
          <w:rFonts w:ascii="Calibri" w:cs="Calibri" w:eastAsia="Calibri" w:hAnsi="Calibri"/>
          <w:b w:val="1"/>
          <w:i w:val="0"/>
          <w:smallCaps w:val="1"/>
          <w:sz w:val="22"/>
          <w:szCs w:val="22"/>
        </w:rPr>
      </w:pPr>
      <w:r w:rsidDel="00000000" w:rsidR="00000000" w:rsidRPr="00000000">
        <w:br w:type="page"/>
      </w:r>
      <w:r w:rsidDel="00000000" w:rsidR="00000000" w:rsidRPr="00000000">
        <w:rPr>
          <w:rFonts w:ascii="Calibri" w:cs="Calibri" w:eastAsia="Calibri" w:hAnsi="Calibri"/>
          <w:b w:val="1"/>
          <w:i w:val="0"/>
          <w:smallCaps w:val="1"/>
          <w:sz w:val="22"/>
          <w:szCs w:val="22"/>
          <w:rtl w:val="0"/>
        </w:rPr>
        <w:t xml:space="preserve">PART A: STAFF TRANSFER AT START DATE – OUTSOURCING FROM THE BUYER (OPTIONAL)</w:t>
      </w:r>
    </w:p>
    <w:p w:rsidR="00000000" w:rsidDel="00000000" w:rsidP="00000000" w:rsidRDefault="00000000" w:rsidRPr="00000000" w14:paraId="0000004A">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1fob9te" w:id="2"/>
      <w:bookmarkEnd w:id="2"/>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RELEVANT TRANSFERS</w:t>
      </w:r>
    </w:p>
    <w:p w:rsidR="00000000" w:rsidDel="00000000" w:rsidP="00000000" w:rsidRDefault="00000000" w:rsidRPr="00000000" w14:paraId="0000004B">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and the Supplier agree that:</w:t>
      </w:r>
    </w:p>
    <w:p w:rsidR="00000000" w:rsidDel="00000000" w:rsidP="00000000" w:rsidRDefault="00000000" w:rsidRPr="00000000" w14:paraId="0000004C">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4D">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4E">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4F">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3znysh7" w:id="3"/>
      <w:bookmarkEnd w:id="3"/>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BUYER INDEMNITIES</w:t>
      </w:r>
    </w:p>
    <w:p w:rsidR="00000000" w:rsidDel="00000000" w:rsidP="00000000" w:rsidRDefault="00000000" w:rsidRPr="00000000" w14:paraId="00000050">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et92p0" w:id="4"/>
      <w:bookmarkEnd w:id="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2.2, the Buyer shall indemnify the Supplier and any Subcontractor against any Employee Liabilities arising from or as a result of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51">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tyjcwt" w:id="5"/>
      <w:bookmarkEnd w:id="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w:t>
      </w:r>
    </w:p>
    <w:p w:rsidR="00000000" w:rsidDel="00000000" w:rsidP="00000000" w:rsidRDefault="00000000" w:rsidRPr="00000000" w14:paraId="00000052">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dy6vkm" w:id="6"/>
      <w:bookmarkEnd w:id="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Paragraphs 2.4 and 2.5,  if any employee of the Buyer who is not identified as a Transferring Buyer Employee claims, or it is determined in relation to any employees of the Buyer, that his/her contract of employment has been transferred from the Buyer to the Supplier and/or any Subcontractor pursuant to the Employment Regulations then -</w:t>
      </w:r>
    </w:p>
    <w:p w:rsidR="00000000" w:rsidDel="00000000" w:rsidP="00000000" w:rsidRDefault="00000000" w:rsidRPr="00000000" w14:paraId="00000053">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t3h5sf" w:id="7"/>
      <w:bookmarkEnd w:id="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will, within 5 Working Days of becoming aware of that fact, notify the Buyer in writing;</w:t>
      </w:r>
    </w:p>
    <w:p w:rsidR="00000000" w:rsidDel="00000000" w:rsidP="00000000" w:rsidRDefault="00000000" w:rsidRPr="00000000" w14:paraId="00000054">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bookmarkStart w:colFirst="0" w:colLast="0" w:name="_heading=h.4d34og8" w:id="8"/>
      <w:bookmarkEnd w:id="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may offer (or may procure that a third party may offer) employment to such person, or take such other steps as it considers appropriate to resolve the matter, within 10 Working Days of receipt of notice from the Supplier;</w:t>
      </w:r>
    </w:p>
    <w:p w:rsidR="00000000" w:rsidDel="00000000" w:rsidP="00000000" w:rsidRDefault="00000000" w:rsidRPr="00000000" w14:paraId="00000055">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such offer of employment is accepted, the Supplier shall immediately release the person from its employment;</w:t>
      </w:r>
    </w:p>
    <w:p w:rsidR="00000000" w:rsidDel="00000000" w:rsidP="00000000" w:rsidRDefault="00000000" w:rsidRPr="00000000" w14:paraId="00000056">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s8eyo1" w:id="9"/>
      <w:bookmarkEnd w:id="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after the period referred to in Paragraph 2.3.2 no such offer has been made, or such offer has been made but not accepted, the Supplier may within 5 Working Days give notice to terminate the employment of such person;</w:t>
      </w:r>
    </w:p>
    <w:p w:rsidR="00000000" w:rsidDel="00000000" w:rsidP="00000000" w:rsidRDefault="00000000" w:rsidRPr="00000000" w14:paraId="00000057">
      <w:pPr>
        <w:ind w:left="993" w:firstLine="0"/>
        <w:rPr/>
      </w:pPr>
      <w:r w:rsidDel="00000000" w:rsidR="00000000" w:rsidRPr="00000000">
        <w:rPr>
          <w:rtl w:val="0"/>
        </w:rPr>
        <w:t xml:space="preserve">and subject to the Supplier's compliance with Paragraphs 2.3.1 to 2.3.4 the Buyer will indemnify the Supplier and/or the relevant Subcontractor against all Employee Liabilities arising out of the termination of the employment of any of the Buyer's employees referred to in this Paragraph 2.3 provided the Supplier takes, or procures that the Subcontractor takes, all reasonable steps to minimise any such Employment Liabilities. </w:t>
      </w:r>
    </w:p>
    <w:p w:rsidR="00000000" w:rsidDel="00000000" w:rsidP="00000000" w:rsidRDefault="00000000" w:rsidRPr="00000000" w14:paraId="00000058">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7dp8vu" w:id="10"/>
      <w:bookmarkEnd w:id="1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indemnity in Paragraph 2.3 shall not apply to any claim:</w:t>
      </w:r>
    </w:p>
    <w:p w:rsidR="00000000" w:rsidDel="00000000" w:rsidP="00000000" w:rsidRDefault="00000000" w:rsidRPr="00000000" w14:paraId="00000059">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Subcontractor; or</w:t>
      </w:r>
    </w:p>
    <w:p w:rsidR="00000000" w:rsidDel="00000000" w:rsidP="00000000" w:rsidRDefault="00000000" w:rsidRPr="00000000" w14:paraId="0000005A">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w:t>
        <w:tab/>
        <w:t xml:space="preserve">any claim that the termination of employment was unfair because the Supplier and/or any Subcontractor neglected to follow a fair dismissal procedure.</w:t>
      </w:r>
    </w:p>
    <w:p w:rsidR="00000000" w:rsidDel="00000000" w:rsidP="00000000" w:rsidRDefault="00000000" w:rsidRPr="00000000" w14:paraId="0000005B">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rdcrjn" w:id="11"/>
      <w:bookmarkEnd w:id="1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indemnity in Paragraph 2.3 shall not apply to any termination of employment occurring later than 3 Months from the Relevant Transfer Date.</w:t>
      </w:r>
    </w:p>
    <w:p w:rsidR="00000000" w:rsidDel="00000000" w:rsidP="00000000" w:rsidRDefault="00000000" w:rsidRPr="00000000" w14:paraId="0000005C">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Supplier and/or any Subcontractor at any point accept the employment of any person as is described in Paragraph 2.3,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5D">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26in1rg" w:id="12"/>
      <w:bookmarkEnd w:id="12"/>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SUPPLIER INDEMNITIES AND OBLIGATIONS</w:t>
      </w:r>
    </w:p>
    <w:p w:rsidR="00000000" w:rsidDel="00000000" w:rsidP="00000000" w:rsidRDefault="00000000" w:rsidRPr="00000000" w14:paraId="0000005E">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bookmarkStart w:colFirst="0" w:colLast="0" w:name="_heading=h.lnxbz9" w:id="13"/>
      <w:bookmarkEnd w:id="1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3.2, the Supplier shall indemnify the Buyer (and any other employer of a Transferring Buyer Employee) against any Employee Liabilities arising from or as a result of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w:t>
      </w:r>
    </w:p>
    <w:p w:rsidR="00000000" w:rsidDel="00000000" w:rsidP="00000000" w:rsidRDefault="00000000" w:rsidRPr="00000000" w14:paraId="0000005F">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5nkun2" w:id="14"/>
      <w:bookmarkEnd w:id="1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60">
      <w:pPr>
        <w:ind w:left="357" w:firstLine="0"/>
        <w:rPr/>
      </w:pPr>
      <w:r w:rsidDel="00000000" w:rsidR="00000000" w:rsidRPr="00000000">
        <w:rPr>
          <w:rtl w:val="0"/>
        </w:rPr>
        <w:t xml:space="preserve">The Supplier shall, and shall procure that each Subcontractor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rsidR="00000000" w:rsidDel="00000000" w:rsidP="00000000" w:rsidRDefault="00000000" w:rsidRPr="00000000" w14:paraId="00000061">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INFORMATION</w:t>
      </w:r>
    </w:p>
    <w:p w:rsidR="00000000" w:rsidDel="00000000" w:rsidP="00000000" w:rsidRDefault="00000000" w:rsidRPr="00000000" w14:paraId="00000062">
      <w:pPr>
        <w:ind w:left="357" w:firstLine="0"/>
        <w:rPr/>
      </w:pPr>
      <w:r w:rsidDel="00000000" w:rsidR="00000000" w:rsidRPr="00000000">
        <w:rPr>
          <w:rtl w:val="0"/>
        </w:rPr>
        <w:t xml:space="preserve">The Supplier shall, and shall procure that each Subcontractor shall, promptly provide to the Buyer in writing such information as is necessary to enable the Buyer (and any other employer of a Transferring Buyer Employee) to carry out its duties under regulation 13 of the Employment Regulations. The Buyer shall promptly provide to the Supplier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63">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PRINCIPLES OF GOOD EMPLOYMENT PRACTICE</w:t>
      </w:r>
    </w:p>
    <w:p w:rsidR="00000000" w:rsidDel="00000000" w:rsidP="00000000" w:rsidRDefault="00000000" w:rsidRPr="00000000" w14:paraId="00000064">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ksv4uv" w:id="15"/>
      <w:bookmarkEnd w:id="1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65">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bookmarkStart w:colFirst="0" w:colLast="0" w:name="_heading=h.44sinio" w:id="16"/>
      <w:bookmarkEnd w:id="1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comply, and shall procure that each Subcontractor shall comply,  with any requirement notified to it by the Buyer relating to pensions in respect of any Transferring Buyer Employee as set down in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000000" w:rsidDel="00000000" w:rsidP="00000000" w:rsidRDefault="00000000" w:rsidRPr="00000000" w14:paraId="00000066">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67">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PENSIONS</w:t>
      </w:r>
    </w:p>
    <w:p w:rsidR="00000000" w:rsidDel="00000000" w:rsidP="00000000" w:rsidRDefault="00000000" w:rsidRPr="00000000" w14:paraId="00000068">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comply with:</w:t>
      </w:r>
    </w:p>
    <w:p w:rsidR="00000000" w:rsidDel="00000000" w:rsidP="00000000" w:rsidRDefault="00000000" w:rsidRPr="00000000" w14:paraId="00000069">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 statutory pension obligations in respect of all Transferring Buyer Employees; and</w:t>
      </w:r>
    </w:p>
    <w:p w:rsidR="00000000" w:rsidDel="00000000" w:rsidP="00000000" w:rsidRDefault="00000000" w:rsidRPr="00000000" w14:paraId="0000006A">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provisions in Part D: Pensions.</w:t>
      </w:r>
    </w:p>
    <w:p w:rsidR="00000000" w:rsidDel="00000000" w:rsidP="00000000" w:rsidRDefault="00000000" w:rsidRPr="00000000" w14:paraId="0000006B">
      <w:pPr>
        <w:pStyle w:val="Heading1"/>
        <w:keepNext w:val="0"/>
        <w:spacing w:after="240" w:lineRule="auto"/>
        <w:jc w:val="center"/>
        <w:rPr>
          <w:rFonts w:ascii="Calibri" w:cs="Calibri" w:eastAsia="Calibri" w:hAnsi="Calibri"/>
          <w:b w:val="1"/>
          <w:i w:val="0"/>
          <w:smallCaps w:val="1"/>
          <w:sz w:val="22"/>
          <w:szCs w:val="22"/>
        </w:rPr>
      </w:pPr>
      <w:bookmarkStart w:colFirst="0" w:colLast="0" w:name="_heading=h.2jxsxqh" w:id="17"/>
      <w:bookmarkEnd w:id="17"/>
      <w:r w:rsidDel="00000000" w:rsidR="00000000" w:rsidRPr="00000000">
        <w:br w:type="page"/>
      </w:r>
      <w:r w:rsidDel="00000000" w:rsidR="00000000" w:rsidRPr="00000000">
        <w:rPr>
          <w:rFonts w:ascii="Calibri" w:cs="Calibri" w:eastAsia="Calibri" w:hAnsi="Calibri"/>
          <w:b w:val="1"/>
          <w:i w:val="0"/>
          <w:smallCaps w:val="1"/>
          <w:sz w:val="22"/>
          <w:szCs w:val="22"/>
          <w:rtl w:val="0"/>
        </w:rPr>
        <w:t xml:space="preserve">PART B: STAFF TRANSFER AT START DATE – TRANSFER FROM FORMER SUPPLIER ON REPROCUREMENT (OPTIONAL)</w:t>
      </w:r>
    </w:p>
    <w:p w:rsidR="00000000" w:rsidDel="00000000" w:rsidP="00000000" w:rsidRDefault="00000000" w:rsidRPr="00000000" w14:paraId="0000006C">
      <w:pPr>
        <w:keepNext w:val="1"/>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RELEVANT TRANSFERS</w:t>
      </w:r>
    </w:p>
    <w:p w:rsidR="00000000" w:rsidDel="00000000" w:rsidP="00000000" w:rsidRDefault="00000000" w:rsidRPr="00000000" w14:paraId="0000006D">
      <w:pPr>
        <w:keepNext w:val="1"/>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and the Supplier agree that:</w:t>
      </w:r>
    </w:p>
    <w:p w:rsidR="00000000" w:rsidDel="00000000" w:rsidP="00000000" w:rsidRDefault="00000000" w:rsidRPr="00000000" w14:paraId="0000006E">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6F">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70">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bookmarkStart w:colFirst="0" w:colLast="0" w:name="_heading=h.z337ya" w:id="18"/>
      <w:bookmarkEnd w:id="1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 (which in any case are attributable in whole or part in respect of the period up to (but not including) the Relevant Transfer Date) and the Supplier shall make, and the Buyer shall procure that the Former Supplier makes, any necessary apportionments in respect of periodic payments.</w:t>
      </w:r>
    </w:p>
    <w:p w:rsidR="00000000" w:rsidDel="00000000" w:rsidP="00000000" w:rsidRDefault="00000000" w:rsidRPr="00000000" w14:paraId="00000071">
      <w:pPr>
        <w:keepNext w:val="1"/>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3j2qqm3" w:id="19"/>
      <w:bookmarkEnd w:id="19"/>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FORMER SUPPLIER INDEMNITIES</w:t>
      </w:r>
    </w:p>
    <w:p w:rsidR="00000000" w:rsidDel="00000000" w:rsidP="00000000" w:rsidRDefault="00000000" w:rsidRPr="00000000" w14:paraId="00000072">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73">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y810tw" w:id="20"/>
      <w:bookmarkEnd w:id="2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w:t>
      </w:r>
    </w:p>
    <w:p w:rsidR="00000000" w:rsidDel="00000000" w:rsidP="00000000" w:rsidRDefault="00000000" w:rsidRPr="00000000" w14:paraId="00000074">
      <w:pPr>
        <w:keepNext w:val="1"/>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i7ojhp" w:id="21"/>
      <w:bookmarkEnd w:id="2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Paragraphs 2.4 and 2.5, if any employee of a Former Supplier who is not identified as a Transferring Former Supplier Employee and claims, and/or it is determined, in relation to such person that his/her contract of employment has been transferred from a Former Supplier to the Supplier and/or any Subcontractor pursuant to the Employment Regulations then: </w:t>
      </w:r>
    </w:p>
    <w:p w:rsidR="00000000" w:rsidDel="00000000" w:rsidP="00000000" w:rsidRDefault="00000000" w:rsidRPr="00000000" w14:paraId="00000075">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bookmarkStart w:colFirst="0" w:colLast="0" w:name="_heading=h.2xcytpi" w:id="22"/>
      <w:bookmarkEnd w:id="2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or shall procure that the Subcontractor shall, within 5 Working Days of becoming aware of that fact notify the Buyer and the relevant Former Supplier in writing;</w:t>
      </w:r>
    </w:p>
    <w:p w:rsidR="00000000" w:rsidDel="00000000" w:rsidP="00000000" w:rsidRDefault="00000000" w:rsidRPr="00000000" w14:paraId="00000076">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ci93xb" w:id="23"/>
      <w:bookmarkEnd w:id="2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relevant Former Supplier may offer employment to such person, or take such other steps as it considers appropriate to resolve the matter, within 10 Working Days of receipt of notice from the Supplier;</w:t>
      </w:r>
    </w:p>
    <w:p w:rsidR="00000000" w:rsidDel="00000000" w:rsidP="00000000" w:rsidRDefault="00000000" w:rsidRPr="00000000" w14:paraId="00000077">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such offer of employment is accepted, the Supplier or relevant Subcontractor shall immediately release the person from its employment;</w:t>
      </w:r>
    </w:p>
    <w:p w:rsidR="00000000" w:rsidDel="00000000" w:rsidP="00000000" w:rsidRDefault="00000000" w:rsidRPr="00000000" w14:paraId="00000078">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whwml4" w:id="24"/>
      <w:bookmarkEnd w:id="2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after the period referred to in Paragraph 2.3.2 no such offer has been made, or such offer has been made but not accepted, the Supplier may within 5 Working Days give notice to terminate the employment of such person;</w:t>
      </w:r>
    </w:p>
    <w:p w:rsidR="00000000" w:rsidDel="00000000" w:rsidP="00000000" w:rsidRDefault="00000000" w:rsidRPr="00000000" w14:paraId="00000079">
      <w:pPr>
        <w:pStyle w:val="Heading4"/>
        <w:keepLines w:val="0"/>
        <w:ind w:left="992" w:hanging="794"/>
        <w:rPr>
          <w:rFonts w:ascii="Calibri" w:cs="Calibri" w:eastAsia="Calibri" w:hAnsi="Calibri"/>
        </w:rPr>
      </w:pPr>
      <w:r w:rsidDel="00000000" w:rsidR="00000000" w:rsidRPr="00000000">
        <w:rPr>
          <w:rFonts w:ascii="Calibri" w:cs="Calibri" w:eastAsia="Calibri" w:hAnsi="Calibri"/>
          <w:rtl w:val="0"/>
        </w:rPr>
        <w:t xml:space="preserve">and subject to the Supplier's compliance with Paragraphs 2.3.1 to 2.3.4 the Buyer shall procure that the Former Supplier will indemnify the Supplier and/or the relevant Subcontractor against all Employee Liabilities arising out of the termination of the employment of any of the Former Supplier's employees referred to in Paragraph 2.3 provided the Supplier takes, or procures that the Subcontractor takes, all reasonable steps to minimise any such Employment Liabilities. </w:t>
      </w:r>
    </w:p>
    <w:p w:rsidR="00000000" w:rsidDel="00000000" w:rsidP="00000000" w:rsidRDefault="00000000" w:rsidRPr="00000000" w14:paraId="0000007A">
      <w:pPr>
        <w:keepNext w:val="1"/>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bn6wsx" w:id="25"/>
      <w:bookmarkEnd w:id="2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indemnity in Paragraph 2.3 shall not apply to any claim:</w:t>
      </w:r>
    </w:p>
    <w:p w:rsidR="00000000" w:rsidDel="00000000" w:rsidP="00000000" w:rsidRDefault="00000000" w:rsidRPr="00000000" w14:paraId="0000007B">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Supplier and/or any Subcontractor; or</w:t>
      </w:r>
    </w:p>
    <w:p w:rsidR="00000000" w:rsidDel="00000000" w:rsidP="00000000" w:rsidRDefault="00000000" w:rsidRPr="00000000" w14:paraId="0000007C">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that the termination of employment was unfair because the Supplier and/or Subcontractor neglected to follow a fair dismissal procedure.</w:t>
      </w:r>
    </w:p>
    <w:p w:rsidR="00000000" w:rsidDel="00000000" w:rsidP="00000000" w:rsidRDefault="00000000" w:rsidRPr="00000000" w14:paraId="0000007D">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qsh70q" w:id="26"/>
      <w:bookmarkEnd w:id="2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indemnity in Paragraph 2.3 shall not apply to any termination of employment occurring later than 3 Months from the Relevant Transfer Date.</w:t>
      </w:r>
    </w:p>
    <w:p w:rsidR="00000000" w:rsidDel="00000000" w:rsidP="00000000" w:rsidRDefault="00000000" w:rsidRPr="00000000" w14:paraId="0000007E">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Supplier and/or any Subcontractor at any point accept the employment of any person as is described in Paragraph 2.3,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7F">
      <w:pPr>
        <w:keepNext w:val="1"/>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3as4poj" w:id="27"/>
      <w:bookmarkEnd w:id="27"/>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SUPPLIER INDEMNITIES AND OBLIGATIONS</w:t>
      </w:r>
    </w:p>
    <w:p w:rsidR="00000000" w:rsidDel="00000000" w:rsidP="00000000" w:rsidRDefault="00000000" w:rsidRPr="00000000" w14:paraId="00000080">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bookmarkStart w:colFirst="0" w:colLast="0" w:name="_heading=h.1pxezwc" w:id="28"/>
      <w:bookmarkEnd w:id="2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3.2, the Supplier shall indemnify the Buyer and/or  the Former Supplier (on its own behalf and on behalf of any Subcontractors) against any Employee Liabilities in respect of each Transferring Former Supplier Employee (or where applicable any employee representative (as defined in the Employment Regulations) of any Former Supplier Employee) arising from or as a result of: </w:t>
      </w:r>
    </w:p>
    <w:p w:rsidR="00000000" w:rsidDel="00000000" w:rsidP="00000000" w:rsidRDefault="00000000" w:rsidRPr="00000000" w14:paraId="00000081">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act or omission by the Supplier or any Subcontractor;</w:t>
      </w:r>
    </w:p>
    <w:p w:rsidR="00000000" w:rsidDel="00000000" w:rsidP="00000000" w:rsidRDefault="00000000" w:rsidRPr="00000000" w14:paraId="00000082">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83">
      <w:pPr>
        <w:keepNext w:val="0"/>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collective agreement applicable to the Transferring Former Supplier Employee; and/or</w:t>
      </w:r>
    </w:p>
    <w:p w:rsidR="00000000" w:rsidDel="00000000" w:rsidP="00000000" w:rsidRDefault="00000000" w:rsidRPr="00000000" w14:paraId="00000084">
      <w:pPr>
        <w:keepNext w:val="0"/>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85">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86">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proposal by the Supplier and/or a Subcontractor prior to the Relevant Transfer Date to change the terms and conditions of employment or working conditions of any Transferring Former Supplier Employees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87">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statement communicated to or action undertaken by the Supplier or a Subcontractor to, or in respect of, any Transferring Former Supplier Employee on or before the Relevant Transfer Date regarding the Relevant Transfer which has not been agreed in advance with the Buyer and/or the Former Supplier in writing;</w:t>
      </w:r>
    </w:p>
    <w:p w:rsidR="00000000" w:rsidDel="00000000" w:rsidP="00000000" w:rsidRDefault="00000000" w:rsidRPr="00000000" w14:paraId="00000088">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89">
      <w:pPr>
        <w:keepNext w:val="0"/>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8A">
      <w:pPr>
        <w:keepNext w:val="0"/>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relation to any employee who is not a Transferring Former Supplier Employee, and in respect of whom it is later determined that the Employment Regulations applied so as to transfer his/her employment from the Former Supplier or subcontractor of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8B">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8C">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w:t>
      </w:r>
    </w:p>
    <w:p w:rsidR="00000000" w:rsidDel="00000000" w:rsidP="00000000" w:rsidRDefault="00000000" w:rsidRPr="00000000" w14:paraId="0000008D">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8E">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p>
    <w:p w:rsidR="00000000" w:rsidDel="00000000" w:rsidP="00000000" w:rsidRDefault="00000000" w:rsidRPr="00000000" w14:paraId="0000008F">
      <w:pPr>
        <w:keepNext w:val="1"/>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INFORMATION</w:t>
      </w:r>
    </w:p>
    <w:p w:rsidR="00000000" w:rsidDel="00000000" w:rsidP="00000000" w:rsidRDefault="00000000" w:rsidRPr="00000000" w14:paraId="00000090">
      <w:pPr>
        <w:ind w:left="357" w:firstLine="0"/>
        <w:rPr/>
      </w:pPr>
      <w:r w:rsidDel="00000000" w:rsidR="00000000" w:rsidRPr="00000000">
        <w:rPr>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91">
      <w:pPr>
        <w:keepNext w:val="1"/>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PRINCIPLES OF GOOD EMPLOYMENT PRACTICE</w:t>
      </w:r>
    </w:p>
    <w:p w:rsidR="00000000" w:rsidDel="00000000" w:rsidP="00000000" w:rsidRDefault="00000000" w:rsidRPr="00000000" w14:paraId="00000092">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and shall procure that each Subcontractor shall, comply with any requirement notified to it by the Buyer relating to pensions in respect of any Transferring Former Supplier Employee as set down in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000000" w:rsidDel="00000000" w:rsidP="00000000" w:rsidRDefault="00000000" w:rsidRPr="00000000" w14:paraId="00000093">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changes embodied in any statement of practice, paper or other guidance that replaces any of the documentation referred to in Paragraph 5.1 shall be agreed in accordance with the Change Control Procedure.</w:t>
      </w:r>
    </w:p>
    <w:p w:rsidR="00000000" w:rsidDel="00000000" w:rsidP="00000000" w:rsidRDefault="00000000" w:rsidRPr="00000000" w14:paraId="00000094">
      <w:pPr>
        <w:keepNext w:val="1"/>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PROCUREMENT OBLIGATIONS</w:t>
      </w:r>
    </w:p>
    <w:p w:rsidR="00000000" w:rsidDel="00000000" w:rsidP="00000000" w:rsidRDefault="00000000" w:rsidRPr="00000000" w14:paraId="00000095">
      <w:pPr>
        <w:ind w:left="357" w:firstLine="0"/>
        <w:rPr/>
      </w:pPr>
      <w:r w:rsidDel="00000000" w:rsidR="00000000" w:rsidRPr="00000000">
        <w:rPr>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any contract between the Buyer and  the Former Supplier contains a contractual right in that regard which the Buyer may enforce, or otherwise so that it requires only that the Buyer’s must use reasonable endeavours to procure that the Former Supplier does or does not act accordingly.</w:t>
      </w:r>
    </w:p>
    <w:p w:rsidR="00000000" w:rsidDel="00000000" w:rsidP="00000000" w:rsidRDefault="00000000" w:rsidRPr="00000000" w14:paraId="00000096">
      <w:pPr>
        <w:keepNext w:val="1"/>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PENSIONS</w:t>
      </w:r>
    </w:p>
    <w:p w:rsidR="00000000" w:rsidDel="00000000" w:rsidP="00000000" w:rsidRDefault="00000000" w:rsidRPr="00000000" w14:paraId="00000097">
      <w:pPr>
        <w:keepNext w:val="1"/>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comply with:</w:t>
      </w:r>
    </w:p>
    <w:p w:rsidR="00000000" w:rsidDel="00000000" w:rsidP="00000000" w:rsidRDefault="00000000" w:rsidRPr="00000000" w14:paraId="00000098">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 statutory pension obligations in respect of all Transferring Former Supplier Employees; and</w:t>
      </w:r>
    </w:p>
    <w:p w:rsidR="00000000" w:rsidDel="00000000" w:rsidP="00000000" w:rsidRDefault="00000000" w:rsidRPr="00000000" w14:paraId="00000099">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provisions in Part D: Pensions.</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pStyle w:val="Heading1"/>
        <w:keepNext w:val="0"/>
        <w:numPr>
          <w:ilvl w:val="0"/>
          <w:numId w:val="7"/>
        </w:numPr>
        <w:spacing w:after="240" w:lineRule="auto"/>
        <w:ind w:left="0" w:hanging="57"/>
        <w:jc w:val="center"/>
        <w:rPr>
          <w:rFonts w:ascii="Calibri" w:cs="Calibri" w:eastAsia="Calibri" w:hAnsi="Calibri"/>
          <w:b w:val="1"/>
          <w:i w:val="0"/>
          <w:smallCaps w:val="1"/>
          <w:sz w:val="22"/>
          <w:szCs w:val="22"/>
        </w:rPr>
      </w:pPr>
      <w:r w:rsidDel="00000000" w:rsidR="00000000" w:rsidRPr="00000000">
        <w:br w:type="page"/>
      </w:r>
      <w:r w:rsidDel="00000000" w:rsidR="00000000" w:rsidRPr="00000000">
        <w:rPr>
          <w:rFonts w:ascii="Calibri" w:cs="Calibri" w:eastAsia="Calibri" w:hAnsi="Calibri"/>
          <w:b w:val="1"/>
          <w:i w:val="0"/>
          <w:smallCaps w:val="1"/>
          <w:sz w:val="22"/>
          <w:szCs w:val="22"/>
          <w:rtl w:val="0"/>
        </w:rPr>
        <w:t xml:space="preserve">PART C: NO STAFF TRANSFER ON START DATE (OPTIONAL)</w:t>
      </w:r>
    </w:p>
    <w:p w:rsidR="00000000" w:rsidDel="00000000" w:rsidP="00000000" w:rsidRDefault="00000000" w:rsidRPr="00000000" w14:paraId="0000009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PROCEDURE IN THE EVENT OF TRANSFER</w:t>
      </w:r>
    </w:p>
    <w:p w:rsidR="00000000" w:rsidDel="00000000" w:rsidP="00000000" w:rsidRDefault="00000000" w:rsidRPr="00000000" w14:paraId="0000009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9x2ik5" w:id="29"/>
      <w:bookmarkEnd w:id="2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9E">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p2csry" w:id="30"/>
      <w:bookmarkEnd w:id="3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Paragraphs 1.3, 1.4 and 1.5, 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then:</w:t>
      </w:r>
    </w:p>
    <w:p w:rsidR="00000000" w:rsidDel="00000000" w:rsidP="00000000" w:rsidRDefault="00000000" w:rsidRPr="00000000" w14:paraId="0000009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bookmarkStart w:colFirst="0" w:colLast="0" w:name="_heading=h.147n2zr" w:id="31"/>
      <w:bookmarkEnd w:id="3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and shall procure that any relevant Subcontractor shall, within 5 Working Days of becoming aware of that fact, notify the Buyer in writing and, where required by the Buyer, notify the Former Supplier in writing;</w:t>
      </w:r>
    </w:p>
    <w:p w:rsidR="00000000" w:rsidDel="00000000" w:rsidP="00000000" w:rsidRDefault="00000000" w:rsidRPr="00000000" w14:paraId="000000A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bookmarkStart w:colFirst="0" w:colLast="0" w:name="_heading=h.3o7alnk" w:id="32"/>
      <w:bookmarkEnd w:id="3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may offer (or may procure that a third party may offer) employment to such person, or take such other steps as it considered appropriate to resolve the matter, within 10 Working Days of receipt of notice from the Supplier;</w:t>
      </w:r>
    </w:p>
    <w:p w:rsidR="00000000" w:rsidDel="00000000" w:rsidP="00000000" w:rsidRDefault="00000000" w:rsidRPr="00000000" w14:paraId="000000A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such offer of employment is accepted, the Supplier shall immediately release the person from its employment;</w:t>
      </w:r>
    </w:p>
    <w:p w:rsidR="00000000" w:rsidDel="00000000" w:rsidP="00000000" w:rsidRDefault="00000000" w:rsidRPr="00000000" w14:paraId="000000A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3ckvvd" w:id="33"/>
      <w:bookmarkEnd w:id="3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after the period referred to in Paragraph 1.2.2 no such offer has been made, or such offer has been made but not accepted, the Supplier may within 5 Working Days give notice to terminate the employment of such person;</w:t>
      </w:r>
    </w:p>
    <w:p w:rsidR="00000000" w:rsidDel="00000000" w:rsidP="00000000" w:rsidRDefault="00000000" w:rsidRPr="00000000" w14:paraId="000000A3">
      <w:pPr>
        <w:keepNext w:val="1"/>
        <w:ind w:left="993" w:firstLine="0"/>
        <w:rPr/>
      </w:pPr>
      <w:r w:rsidDel="00000000" w:rsidR="00000000" w:rsidRPr="00000000">
        <w:rPr>
          <w:rtl w:val="0"/>
        </w:rPr>
        <w:t xml:space="preserve">and subject to the Supplier's compliance with Paragraphs 1.2.1 to 1.2.4:</w:t>
      </w:r>
    </w:p>
    <w:p w:rsidR="00000000" w:rsidDel="00000000" w:rsidP="00000000" w:rsidRDefault="00000000" w:rsidRPr="00000000" w14:paraId="000000A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will indemnify the Supplier and/or the relevant Subcontractor against all Employee Liabilities arising out of the termination of the employment of any of the Buyer's employees referred to in Paragraph 1.2 provided that the Supplier takes, or shall procure that the Subcontractor takes, all reasonable steps to minimise any such Employee Liabilities; and </w:t>
      </w:r>
    </w:p>
    <w:p w:rsidR="00000000" w:rsidDel="00000000" w:rsidP="00000000" w:rsidRDefault="00000000" w:rsidRPr="00000000" w14:paraId="000000A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will procure that the Former Supplier indemnifies the Supplier and/or any Subcontractor against all Employee Liabilities arising out of termination of the employment of the employees of the Former Supplier referred to in Paragraph 1.2 provided that the Supplier takes, or shall procure that the Subcontractor takes, all reasonable steps to minimise any such Employee Liabilities.</w:t>
      </w:r>
    </w:p>
    <w:p w:rsidR="00000000" w:rsidDel="00000000" w:rsidP="00000000" w:rsidRDefault="00000000" w:rsidRPr="00000000" w14:paraId="000000A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ihv636" w:id="34"/>
      <w:bookmarkEnd w:id="3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indemnities in Paragraph 1.2 shall not apply to any claim:</w:t>
      </w:r>
    </w:p>
    <w:p w:rsidR="00000000" w:rsidDel="00000000" w:rsidP="00000000" w:rsidRDefault="00000000" w:rsidRPr="00000000" w14:paraId="000000A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Subcontractor; or</w:t>
      </w:r>
    </w:p>
    <w:p w:rsidR="00000000" w:rsidDel="00000000" w:rsidP="00000000" w:rsidRDefault="00000000" w:rsidRPr="00000000" w14:paraId="000000A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claim that the termination of employment was unfair because the Supplier and/or any Subcontractor neglected to follow a fair dismissal procedure</w:t>
      </w:r>
    </w:p>
    <w:p w:rsidR="00000000" w:rsidDel="00000000" w:rsidP="00000000" w:rsidRDefault="00000000" w:rsidRPr="00000000" w14:paraId="000000A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2hioqz" w:id="35"/>
      <w:bookmarkEnd w:id="3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indemnities in Paragraph 1.2 shall not apply to any termination of employment occurring later than 3 Months from the Commencement Date.</w:t>
      </w:r>
    </w:p>
    <w:p w:rsidR="00000000" w:rsidDel="00000000" w:rsidP="00000000" w:rsidRDefault="00000000" w:rsidRPr="00000000" w14:paraId="000000A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hmsyys" w:id="36"/>
      <w:bookmarkEnd w:id="3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0A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PROCUREMENT OBLIGATIONS</w:t>
      </w:r>
    </w:p>
    <w:p w:rsidR="00000000" w:rsidDel="00000000" w:rsidP="00000000" w:rsidRDefault="00000000" w:rsidRPr="00000000" w14:paraId="000000AC">
      <w:pPr>
        <w:ind w:left="357" w:firstLine="0"/>
        <w:rPr/>
      </w:pPr>
      <w:r w:rsidDel="00000000" w:rsidR="00000000" w:rsidRPr="00000000">
        <w:rPr>
          <w:rtl w:val="0"/>
        </w:rPr>
        <w:t xml:space="preserve">Where in this Part C the Buyer accepts an obligation to procure that a Former Supplier does or does not do something, such obligation shall be limited so that it extends only to the extent that any contract between the Buyer and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0AD">
      <w:pPr>
        <w:pStyle w:val="Heading1"/>
        <w:spacing w:after="240" w:lineRule="auto"/>
        <w:jc w:val="center"/>
        <w:rPr>
          <w:rFonts w:ascii="Calibri" w:cs="Calibri" w:eastAsia="Calibri" w:hAnsi="Calibri"/>
          <w:i w:val="0"/>
          <w:smallCaps w:val="1"/>
          <w:sz w:val="22"/>
          <w:szCs w:val="22"/>
        </w:rPr>
      </w:pPr>
      <w:r w:rsidDel="00000000" w:rsidR="00000000" w:rsidRPr="00000000">
        <w:br w:type="page"/>
      </w:r>
      <w:r w:rsidDel="00000000" w:rsidR="00000000" w:rsidRPr="00000000">
        <w:rPr>
          <w:rFonts w:ascii="Calibri" w:cs="Calibri" w:eastAsia="Calibri" w:hAnsi="Calibri"/>
          <w:b w:val="1"/>
          <w:i w:val="0"/>
          <w:smallCaps w:val="1"/>
          <w:sz w:val="22"/>
          <w:szCs w:val="22"/>
          <w:rtl w:val="0"/>
        </w:rPr>
        <w:t xml:space="preserve">PART D: PENSIONS</w:t>
      </w:r>
      <w:r w:rsidDel="00000000" w:rsidR="00000000" w:rsidRPr="00000000">
        <w:rPr>
          <w:rtl w:val="0"/>
        </w:rPr>
      </w:r>
    </w:p>
    <w:p w:rsidR="00000000" w:rsidDel="00000000" w:rsidP="00000000" w:rsidRDefault="00000000" w:rsidRPr="00000000" w14:paraId="000000A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DEFINITIONS</w:t>
      </w:r>
    </w:p>
    <w:p w:rsidR="00000000" w:rsidDel="00000000" w:rsidP="00000000" w:rsidRDefault="00000000" w:rsidRPr="00000000" w14:paraId="000000AF">
      <w:pPr>
        <w:keepNext w:val="1"/>
        <w:ind w:left="357" w:firstLine="0"/>
        <w:rPr/>
      </w:pPr>
      <w:r w:rsidDel="00000000" w:rsidR="00000000" w:rsidRPr="00000000">
        <w:rPr>
          <w:rtl w:val="0"/>
        </w:rPr>
        <w:t xml:space="preserve">In this Part D, the following words have the following meanings and they shall supplement Schedule J1: Definitions, and shall be deemed to include the definitions set out in the Annexes:</w:t>
      </w:r>
    </w:p>
    <w:tbl>
      <w:tblPr>
        <w:tblStyle w:val="Table2"/>
        <w:tblW w:w="9242.0" w:type="dxa"/>
        <w:jc w:val="left"/>
        <w:tblLayout w:type="fixed"/>
        <w:tblLook w:val="0000"/>
      </w:tblPr>
      <w:tblGrid>
        <w:gridCol w:w="3085"/>
        <w:gridCol w:w="6157"/>
        <w:tblGridChange w:id="0">
          <w:tblGrid>
            <w:gridCol w:w="3085"/>
            <w:gridCol w:w="6157"/>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0">
            <w:pPr>
              <w:spacing w:after="120" w:before="120" w:lineRule="auto"/>
              <w:ind w:left="720" w:firstLine="0"/>
              <w:rPr>
                <w:b w:val="1"/>
              </w:rPr>
            </w:pPr>
            <w:r w:rsidDel="00000000" w:rsidR="00000000" w:rsidRPr="00000000">
              <w:rPr>
                <w:b w:val="1"/>
                <w:rtl w:val="0"/>
              </w:rPr>
              <w:t xml:space="preserve">"Actuary"</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1">
            <w:pPr>
              <w:tabs>
                <w:tab w:val="left" w:leader="none" w:pos="235"/>
              </w:tabs>
              <w:spacing w:after="120" w:before="120" w:lineRule="auto"/>
              <w:rPr>
                <w:color w:val="000000"/>
              </w:rPr>
            </w:pPr>
            <w:r w:rsidDel="00000000" w:rsidR="00000000" w:rsidRPr="00000000">
              <w:rPr>
                <w:color w:val="000000"/>
                <w:rtl w:val="0"/>
              </w:rPr>
              <w:t xml:space="preserve">a Fellow of the Institute and Faculty of Actuaries;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2">
            <w:pPr>
              <w:spacing w:after="120" w:before="120" w:lineRule="auto"/>
              <w:ind w:left="720" w:firstLine="0"/>
              <w:rPr>
                <w:b w:val="1"/>
              </w:rPr>
            </w:pPr>
            <w:r w:rsidDel="00000000" w:rsidR="00000000" w:rsidRPr="00000000">
              <w:rPr>
                <w:b w:val="1"/>
                <w:rtl w:val="0"/>
              </w:rPr>
              <w:t xml:space="preserve">"Admission Agreement"</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3">
            <w:pPr>
              <w:tabs>
                <w:tab w:val="left" w:leader="none" w:pos="235"/>
              </w:tabs>
              <w:spacing w:after="120" w:before="120" w:lineRule="auto"/>
              <w:rPr/>
            </w:pPr>
            <w:r w:rsidDel="00000000" w:rsidR="00000000" w:rsidRPr="00000000">
              <w:rPr>
                <w:rtl w:val="0"/>
              </w:rPr>
              <w:t xml:space="preserve">means either or both of the CSPS Admission Agreement (as defined in Annex D1: CSPS) or the LGPS Admission Agreement) as defined in Annex D3: LGPS), as the context requires;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4">
            <w:pPr>
              <w:widowControl w:val="0"/>
              <w:spacing w:after="120" w:before="120" w:lineRule="auto"/>
              <w:ind w:left="720" w:firstLine="0"/>
              <w:rPr>
                <w:b w:val="1"/>
              </w:rPr>
            </w:pPr>
            <w:r w:rsidDel="00000000" w:rsidR="00000000" w:rsidRPr="00000000">
              <w:rPr>
                <w:b w:val="1"/>
                <w:rtl w:val="0"/>
              </w:rPr>
              <w:t xml:space="preserve">"Broadly Comparable"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5">
            <w:pPr>
              <w:widowControl w:val="0"/>
              <w:numPr>
                <w:ilvl w:val="0"/>
                <w:numId w:val="5"/>
              </w:numPr>
              <w:tabs>
                <w:tab w:val="left" w:leader="none" w:pos="695"/>
              </w:tabs>
              <w:spacing w:after="120" w:before="120" w:lineRule="auto"/>
              <w:ind w:left="691" w:hanging="648"/>
              <w:rPr/>
            </w:pPr>
            <w:r w:rsidDel="00000000" w:rsidR="00000000" w:rsidRPr="00000000">
              <w:rPr>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6">
            <w:pPr>
              <w:widowControl w:val="0"/>
              <w:spacing w:after="120" w:before="120" w:lineRule="auto"/>
              <w:ind w:left="720" w:firstLine="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7">
            <w:pPr>
              <w:widowControl w:val="0"/>
              <w:numPr>
                <w:ilvl w:val="0"/>
                <w:numId w:val="5"/>
              </w:numPr>
              <w:tabs>
                <w:tab w:val="left" w:leader="none" w:pos="695"/>
              </w:tabs>
              <w:spacing w:after="120" w:before="120" w:lineRule="auto"/>
              <w:ind w:left="695" w:hanging="646"/>
              <w:rPr/>
            </w:pPr>
            <w:r w:rsidDel="00000000" w:rsidR="00000000" w:rsidRPr="00000000">
              <w:rPr>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0B8">
            <w:pPr>
              <w:tabs>
                <w:tab w:val="left" w:leader="none" w:pos="235"/>
              </w:tabs>
              <w:spacing w:after="120" w:before="120" w:lineRule="auto"/>
              <w:rPr/>
            </w:pPr>
            <w:r w:rsidDel="00000000" w:rsidR="00000000" w:rsidRPr="00000000">
              <w:rPr>
                <w:rtl w:val="0"/>
              </w:rPr>
              <w:t xml:space="preserve">and "</w:t>
            </w:r>
            <w:r w:rsidDel="00000000" w:rsidR="00000000" w:rsidRPr="00000000">
              <w:rPr>
                <w:b w:val="1"/>
                <w:rtl w:val="0"/>
              </w:rPr>
              <w:t xml:space="preserve">Broad Comparability</w:t>
            </w:r>
            <w:r w:rsidDel="00000000" w:rsidR="00000000" w:rsidRPr="00000000">
              <w:rPr>
                <w:rtl w:val="0"/>
              </w:rPr>
              <w:t xml:space="preserve">" shall be construed accordingly;</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9">
            <w:pPr>
              <w:widowControl w:val="0"/>
              <w:spacing w:after="120" w:before="120" w:lineRule="auto"/>
              <w:ind w:left="720" w:firstLine="0"/>
              <w:rPr>
                <w:b w:val="1"/>
              </w:rPr>
            </w:pPr>
            <w:r w:rsidDel="00000000" w:rsidR="00000000" w:rsidRPr="00000000">
              <w:rPr>
                <w:b w:val="1"/>
                <w:rtl w:val="0"/>
              </w:rPr>
              <w:t xml:space="preserve">"CSPS"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A">
            <w:pPr>
              <w:widowControl w:val="0"/>
              <w:spacing w:after="120" w:before="120" w:lineRule="auto"/>
              <w:rPr/>
            </w:pPr>
            <w:r w:rsidDel="00000000" w:rsidR="00000000" w:rsidRPr="00000000">
              <w:rPr>
                <w:rtl w:val="0"/>
              </w:rPr>
              <w:t xml:space="preserve">the schemes as defined in Annex D1 to this Part D;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B">
            <w:pPr>
              <w:widowControl w:val="0"/>
              <w:spacing w:after="120" w:before="120" w:lineRule="auto"/>
              <w:ind w:left="720" w:firstLine="0"/>
              <w:rPr>
                <w:b w:val="1"/>
              </w:rPr>
            </w:pPr>
            <w:r w:rsidDel="00000000" w:rsidR="00000000" w:rsidRPr="00000000">
              <w:rPr>
                <w:b w:val="1"/>
                <w:rtl w:val="0"/>
              </w:rPr>
              <w:t xml:space="preserve">"Fair Deal Employees"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C">
            <w:pPr>
              <w:widowControl w:val="0"/>
              <w:spacing w:after="120" w:before="120" w:lineRule="auto"/>
              <w:rPr/>
            </w:pPr>
            <w:r w:rsidDel="00000000" w:rsidR="00000000" w:rsidRPr="00000000">
              <w:rPr>
                <w:rtl w:val="0"/>
              </w:rPr>
              <w:t xml:space="preserve">those:</w:t>
            </w:r>
          </w:p>
          <w:p w:rsidR="00000000" w:rsidDel="00000000" w:rsidP="00000000" w:rsidRDefault="00000000" w:rsidRPr="00000000" w14:paraId="000000BD">
            <w:pPr>
              <w:widowControl w:val="0"/>
              <w:numPr>
                <w:ilvl w:val="0"/>
                <w:numId w:val="3"/>
              </w:numPr>
              <w:tabs>
                <w:tab w:val="left" w:leader="none" w:pos="695"/>
              </w:tabs>
              <w:spacing w:after="120" w:before="120" w:lineRule="auto"/>
              <w:ind w:left="743" w:hanging="709"/>
              <w:rPr/>
            </w:pPr>
            <w:r w:rsidDel="00000000" w:rsidR="00000000" w:rsidRPr="00000000">
              <w:rPr>
                <w:rtl w:val="0"/>
              </w:rPr>
              <w:t xml:space="preserve">Transferring Buyer Employees; and/or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E">
            <w:pPr>
              <w:widowControl w:val="0"/>
              <w:spacing w:after="120" w:before="120" w:lineRule="auto"/>
              <w:ind w:left="720" w:firstLine="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F">
            <w:pPr>
              <w:widowControl w:val="0"/>
              <w:numPr>
                <w:ilvl w:val="0"/>
                <w:numId w:val="3"/>
              </w:numPr>
              <w:tabs>
                <w:tab w:val="left" w:leader="none" w:pos="695"/>
              </w:tabs>
              <w:spacing w:after="120" w:before="120" w:lineRule="auto"/>
              <w:ind w:left="695" w:hanging="646"/>
              <w:rPr/>
            </w:pPr>
            <w:r w:rsidDel="00000000" w:rsidR="00000000" w:rsidRPr="00000000">
              <w:rPr>
                <w:rtl w:val="0"/>
              </w:rPr>
              <w:t xml:space="preserve">Transferring Former Supplier Employees; and/or</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0">
            <w:pPr>
              <w:widowControl w:val="0"/>
              <w:spacing w:after="120" w:before="120" w:lineRule="auto"/>
              <w:ind w:left="720" w:firstLine="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1">
            <w:pPr>
              <w:widowControl w:val="0"/>
              <w:numPr>
                <w:ilvl w:val="0"/>
                <w:numId w:val="3"/>
              </w:numPr>
              <w:tabs>
                <w:tab w:val="left" w:leader="none" w:pos="695"/>
              </w:tabs>
              <w:spacing w:after="120" w:before="120" w:lineRule="auto"/>
              <w:ind w:left="695" w:hanging="646"/>
              <w:rPr/>
            </w:pPr>
            <w:r w:rsidDel="00000000" w:rsidR="00000000" w:rsidRPr="00000000">
              <w:rPr>
                <w:rtl w:val="0"/>
              </w:rPr>
              <w:t xml:space="preserve">employees who are not Transferring Buyer Employees or Transferring Former Supplier Employees but to whom the Employment Regulations apply on the Relevant Transfer Date to transfer their employment to the Supplier or a Subcontractor, , and whose employment is not terminated in accordance with the provisions of Paragraphs 2.3.4 of Parts A or B or Paragraph 1.2.4 of Part C; and/or</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2">
            <w:pPr>
              <w:keepNext w:val="1"/>
              <w:widowControl w:val="0"/>
              <w:spacing w:after="120" w:before="120" w:lineRule="auto"/>
              <w:ind w:left="720" w:firstLine="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3">
            <w:pPr>
              <w:widowControl w:val="0"/>
              <w:numPr>
                <w:ilvl w:val="0"/>
                <w:numId w:val="3"/>
              </w:numPr>
              <w:tabs>
                <w:tab w:val="left" w:leader="none" w:pos="695"/>
              </w:tabs>
              <w:spacing w:after="120" w:before="120" w:lineRule="auto"/>
              <w:ind w:left="695" w:hanging="646"/>
              <w:rPr/>
            </w:pPr>
            <w:r w:rsidDel="00000000" w:rsidR="00000000" w:rsidRPr="00000000">
              <w:rPr>
                <w:rtl w:val="0"/>
              </w:rPr>
              <w:t xml:space="preserve">where the Supplier or a Subcontractor was the Former Supplier and becomes the Supplier or a Subcontractor, those employees;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4">
            <w:pPr>
              <w:widowControl w:val="0"/>
              <w:spacing w:after="120" w:before="120" w:lineRule="auto"/>
              <w:ind w:left="720" w:firstLine="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5">
            <w:pPr>
              <w:widowControl w:val="0"/>
              <w:spacing w:after="120" w:before="120" w:lineRule="auto"/>
              <w:rPr/>
            </w:pPr>
            <w:r w:rsidDel="00000000" w:rsidR="00000000" w:rsidRPr="00000000">
              <w:rPr>
                <w:rtl w:val="0"/>
              </w:rPr>
              <w:t xml:space="preserve">who at the Commencement Date or Relevant Transfer Date (as appropriate) are or become entitled to New Fair Deal protection in respect of any of the Statutory Schemes as notified by the Buyer;</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6">
            <w:pPr>
              <w:widowControl w:val="0"/>
              <w:spacing w:after="120" w:before="120" w:lineRule="auto"/>
              <w:ind w:left="720" w:firstLine="0"/>
              <w:rPr>
                <w:b w:val="1"/>
              </w:rPr>
            </w:pPr>
            <w:r w:rsidDel="00000000" w:rsidR="00000000" w:rsidRPr="00000000">
              <w:rPr>
                <w:b w:val="1"/>
                <w:rtl w:val="0"/>
              </w:rPr>
              <w:t xml:space="preserve">"Fair Deal Schemes"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7">
            <w:pPr>
              <w:widowControl w:val="0"/>
              <w:spacing w:after="120" w:before="120" w:lineRule="auto"/>
              <w:rPr/>
            </w:pPr>
            <w:r w:rsidDel="00000000" w:rsidR="00000000" w:rsidRPr="00000000">
              <w:rPr>
                <w:rtl w:val="0"/>
              </w:rPr>
              <w:t xml:space="preserve">means the relevant Statutory Scheme or a Broadly Comparable pension scheme;</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8">
            <w:pPr>
              <w:widowControl w:val="0"/>
              <w:spacing w:after="120" w:before="120" w:lineRule="auto"/>
              <w:ind w:left="720" w:firstLine="0"/>
              <w:rPr>
                <w:b w:val="1"/>
              </w:rPr>
            </w:pPr>
            <w:r w:rsidDel="00000000" w:rsidR="00000000" w:rsidRPr="00000000">
              <w:rPr>
                <w:b w:val="1"/>
                <w:rtl w:val="0"/>
              </w:rPr>
              <w:t xml:space="preserve">"Fund Actuary"</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9">
            <w:pPr>
              <w:widowControl w:val="0"/>
              <w:spacing w:after="120" w:before="120" w:lineRule="auto"/>
              <w:rPr/>
            </w:pPr>
            <w:r w:rsidDel="00000000" w:rsidR="00000000" w:rsidRPr="00000000">
              <w:rPr>
                <w:rtl w:val="0"/>
              </w:rPr>
              <w:t xml:space="preserve">means Fund Actuary as defined in Annex D3 to this Part D;</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A">
            <w:pPr>
              <w:widowControl w:val="0"/>
              <w:spacing w:after="120" w:before="120" w:lineRule="auto"/>
              <w:ind w:left="720" w:firstLine="0"/>
              <w:rPr>
                <w:b w:val="1"/>
              </w:rPr>
            </w:pPr>
            <w:r w:rsidDel="00000000" w:rsidR="00000000" w:rsidRPr="00000000">
              <w:rPr>
                <w:b w:val="1"/>
                <w:rtl w:val="0"/>
              </w:rPr>
              <w:t xml:space="preserve">"LGPS"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B">
            <w:pPr>
              <w:widowControl w:val="0"/>
              <w:spacing w:after="120" w:before="120" w:lineRule="auto"/>
              <w:rPr/>
            </w:pPr>
            <w:r w:rsidDel="00000000" w:rsidR="00000000" w:rsidRPr="00000000">
              <w:rPr>
                <w:rtl w:val="0"/>
              </w:rPr>
              <w:t xml:space="preserve">the schemes as defined in Annex D3 to this Part D;</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C">
            <w:pPr>
              <w:widowControl w:val="0"/>
              <w:spacing w:after="120" w:before="120" w:lineRule="auto"/>
              <w:ind w:left="720" w:firstLine="0"/>
              <w:rPr>
                <w:b w:val="1"/>
              </w:rPr>
            </w:pPr>
            <w:r w:rsidDel="00000000" w:rsidR="00000000" w:rsidRPr="00000000">
              <w:rPr>
                <w:b w:val="1"/>
                <w:rtl w:val="0"/>
              </w:rPr>
              <w:t xml:space="preserve">"NHSPS"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D">
            <w:pPr>
              <w:keepNext w:val="1"/>
              <w:widowControl w:val="0"/>
              <w:spacing w:after="120" w:before="120" w:lineRule="auto"/>
              <w:rPr/>
            </w:pPr>
            <w:r w:rsidDel="00000000" w:rsidR="00000000" w:rsidRPr="00000000">
              <w:rPr>
                <w:rtl w:val="0"/>
              </w:rPr>
              <w:t xml:space="preserve">the schemes  as defined in Annex D2 to this Part D;</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E">
            <w:pPr>
              <w:widowControl w:val="0"/>
              <w:spacing w:after="120" w:before="120" w:lineRule="auto"/>
              <w:ind w:left="720" w:firstLine="0"/>
              <w:rPr>
                <w:b w:val="1"/>
              </w:rPr>
            </w:pPr>
            <w:r w:rsidDel="00000000" w:rsidR="00000000" w:rsidRPr="00000000">
              <w:rPr>
                <w:b w:val="1"/>
                <w:rtl w:val="0"/>
              </w:rPr>
              <w:t xml:space="preserve">"New Fair Deal"</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F">
            <w:pPr>
              <w:spacing w:after="120" w:before="120" w:lineRule="auto"/>
              <w:rPr/>
            </w:pPr>
            <w:r w:rsidDel="00000000" w:rsidR="00000000" w:rsidRPr="00000000">
              <w:rPr>
                <w:rtl w:val="0"/>
              </w:rPr>
              <w:t xml:space="preserve">the revised Fair Deal position set out in the HM Treasury guidance:  "</w:t>
            </w:r>
            <w:r w:rsidDel="00000000" w:rsidR="00000000" w:rsidRPr="00000000">
              <w:rPr>
                <w:i w:val="1"/>
                <w:rtl w:val="0"/>
              </w:rPr>
              <w:t xml:space="preserve">Fair Deal for Staff Pensions: Staff Transfer from Central Government</w:t>
            </w:r>
            <w:r w:rsidDel="00000000" w:rsidR="00000000" w:rsidRPr="00000000">
              <w:rPr>
                <w:rtl w:val="0"/>
              </w:rPr>
              <w:t xml:space="preserve">" issued in October 2013 including:</w:t>
            </w:r>
          </w:p>
          <w:p w:rsidR="00000000" w:rsidDel="00000000" w:rsidP="00000000" w:rsidRDefault="00000000" w:rsidRPr="00000000" w14:paraId="000000D0">
            <w:pPr>
              <w:widowControl w:val="0"/>
              <w:numPr>
                <w:ilvl w:val="0"/>
                <w:numId w:val="12"/>
              </w:numPr>
              <w:tabs>
                <w:tab w:val="left" w:leader="none" w:pos="695"/>
              </w:tabs>
              <w:spacing w:after="120" w:before="120" w:lineRule="auto"/>
              <w:ind w:left="743" w:hanging="709"/>
              <w:rPr/>
            </w:pPr>
            <w:r w:rsidDel="00000000" w:rsidR="00000000" w:rsidRPr="00000000">
              <w:rPr>
                <w:rtl w:val="0"/>
              </w:rPr>
              <w:t xml:space="preserve">any amendments to that document immediately prior to the Relevant Transfer Date; and</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D1">
            <w:pPr>
              <w:widowControl w:val="0"/>
              <w:spacing w:after="120" w:before="120" w:lineRule="auto"/>
              <w:ind w:left="720" w:firstLine="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D2">
            <w:pPr>
              <w:widowControl w:val="0"/>
              <w:numPr>
                <w:ilvl w:val="0"/>
                <w:numId w:val="12"/>
              </w:numPr>
              <w:tabs>
                <w:tab w:val="left" w:leader="none" w:pos="695"/>
              </w:tabs>
              <w:spacing w:after="120" w:before="120" w:lineRule="auto"/>
              <w:ind w:left="695" w:hanging="646"/>
              <w:rPr/>
            </w:pPr>
            <w:r w:rsidDel="00000000" w:rsidR="00000000" w:rsidRPr="00000000">
              <w:rPr>
                <w:rtl w:val="0"/>
              </w:rPr>
              <w:t xml:space="preserve">any similar pension protection in accordance with the subsequent Annex D1-D3 inclusive as notified to the Supplier by the CCS or Buyer;</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D3">
            <w:pPr>
              <w:widowControl w:val="0"/>
              <w:spacing w:after="120" w:before="120" w:lineRule="auto"/>
              <w:ind w:left="720" w:firstLine="0"/>
              <w:rPr>
                <w:b w:val="1"/>
              </w:rPr>
            </w:pPr>
            <w:r w:rsidDel="00000000" w:rsidR="00000000" w:rsidRPr="00000000">
              <w:rPr>
                <w:b w:val="1"/>
                <w:rtl w:val="0"/>
              </w:rPr>
              <w:t xml:space="preserve">"Statutory Schemes"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D4">
            <w:pPr>
              <w:spacing w:after="120" w:before="120" w:lineRule="auto"/>
              <w:rPr/>
            </w:pPr>
            <w:r w:rsidDel="00000000" w:rsidR="00000000" w:rsidRPr="00000000">
              <w:rPr>
                <w:rtl w:val="0"/>
              </w:rPr>
              <w:t xml:space="preserve">means the CSPS, NHSPS or LGPS.</w:t>
            </w:r>
          </w:p>
        </w:tc>
      </w:tr>
    </w:tbl>
    <w:p w:rsidR="00000000" w:rsidDel="00000000" w:rsidP="00000000" w:rsidRDefault="00000000" w:rsidRPr="00000000" w14:paraId="000000D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singl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PARTICIPATION</w:t>
      </w:r>
      <w:r w:rsidDel="00000000" w:rsidR="00000000" w:rsidRPr="00000000">
        <w:rPr>
          <w:rtl w:val="0"/>
        </w:rPr>
      </w:r>
    </w:p>
    <w:p w:rsidR="00000000" w:rsidDel="00000000" w:rsidP="00000000" w:rsidRDefault="00000000" w:rsidRPr="00000000" w14:paraId="000000D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0D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undertakes to do all such things and execute any documents (including any relevant Admission Agreement and/or Direction Letter,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0D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undertakes:</w:t>
      </w:r>
    </w:p>
    <w:p w:rsidR="00000000" w:rsidDel="00000000" w:rsidP="00000000" w:rsidRDefault="00000000" w:rsidRPr="00000000" w14:paraId="000000D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 pay to the Statutory Schemes all such amounts as are due under the relevant Admission Agreement and/or Direction Letter or otherwise and shall deduct and pay to the Statutory Schemes such employee contributions as are required; and</w:t>
      </w:r>
    </w:p>
    <w:p w:rsidR="00000000" w:rsidDel="00000000" w:rsidP="00000000" w:rsidRDefault="00000000" w:rsidRPr="00000000" w14:paraId="000000D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6 of Annex D3 LGPS of this Part D and Schedule 6 the TUPE Surcharge,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rsidR="00000000" w:rsidDel="00000000" w:rsidP="00000000" w:rsidRDefault="00000000" w:rsidRPr="00000000" w14:paraId="000000D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PROVISION OF INFORMATION</w:t>
      </w:r>
    </w:p>
    <w:p w:rsidR="00000000" w:rsidDel="00000000" w:rsidP="00000000" w:rsidRDefault="00000000" w:rsidRPr="00000000" w14:paraId="000000D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undertakes to the Buyer</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D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1mghml" w:id="37"/>
      <w:bookmarkEnd w:id="3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 provide all information which the Buyer</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0D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w:t>
      </w:r>
    </w:p>
    <w:p w:rsidR="00000000" w:rsidDel="00000000" w:rsidP="00000000" w:rsidRDefault="00000000" w:rsidRPr="00000000" w14:paraId="000000DF">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INDEMNITIES</w:t>
      </w:r>
    </w:p>
    <w:p w:rsidR="00000000" w:rsidDel="00000000" w:rsidP="00000000" w:rsidRDefault="00000000" w:rsidRPr="00000000" w14:paraId="000000E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undertakes to the Buyer</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 indemnify and keep indemnified CCS, NHS Pensions the Buyer</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and/or any Replacement Supplier and/or any Replacement Subcontractor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rsidR="00000000" w:rsidDel="00000000" w:rsidP="00000000" w:rsidRDefault="00000000" w:rsidRPr="00000000" w14:paraId="000000E1">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grqrue" w:id="38"/>
      <w:bookmarkEnd w:id="3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hereby indemnifies the CCS, NHS Pensions, the Buyer</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and/or any Replacement Supplier and/or Replacement Subcontractor from and against all Losses suffered or incurred by it or them which arise from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0E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vx1227" w:id="39"/>
      <w:bookmarkEnd w:id="3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relate to pension rights in respect of periods of employment on and after the Relevant Transfer Date until the date of termination or expiry of this Contract; or</w:t>
      </w:r>
    </w:p>
    <w:p w:rsidR="00000000" w:rsidDel="00000000" w:rsidP="00000000" w:rsidRDefault="00000000" w:rsidRPr="00000000" w14:paraId="000000E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fwokq0" w:id="40"/>
      <w:bookmarkEnd w:id="4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arise out of the failure of the Supplier and/or any relevant Subcontractor to comply with the provisions of this Part D before the date of termination or expiry of this Contract. </w:t>
      </w:r>
    </w:p>
    <w:p w:rsidR="00000000" w:rsidDel="00000000" w:rsidP="00000000" w:rsidRDefault="00000000" w:rsidRPr="00000000" w14:paraId="000000E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indemnities in this Part D and its Annexes:</w:t>
      </w:r>
    </w:p>
    <w:p w:rsidR="00000000" w:rsidDel="00000000" w:rsidP="00000000" w:rsidRDefault="00000000" w:rsidRPr="00000000" w14:paraId="000000E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survive termination of this Contract; and</w:t>
      </w:r>
    </w:p>
    <w:p w:rsidR="00000000" w:rsidDel="00000000" w:rsidP="00000000" w:rsidRDefault="00000000" w:rsidRPr="00000000" w14:paraId="000000E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0E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DISPUTES</w:t>
      </w:r>
    </w:p>
    <w:p w:rsidR="00000000" w:rsidDel="00000000" w:rsidP="00000000" w:rsidRDefault="00000000" w:rsidRPr="00000000" w14:paraId="000000E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0E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who will act as an expert and not as an arbitrator; </w:t>
      </w:r>
    </w:p>
    <w:p w:rsidR="00000000" w:rsidDel="00000000" w:rsidP="00000000" w:rsidRDefault="00000000" w:rsidRPr="00000000" w14:paraId="000000E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0E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0E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w:t>
      </w:r>
    </w:p>
    <w:p w:rsidR="00000000" w:rsidDel="00000000" w:rsidP="00000000" w:rsidRDefault="00000000" w:rsidRPr="00000000" w14:paraId="000000ED">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THIRD PARTY RIGHTS</w:t>
      </w:r>
    </w:p>
    <w:p w:rsidR="00000000" w:rsidDel="00000000" w:rsidP="00000000" w:rsidRDefault="00000000" w:rsidRPr="00000000" w14:paraId="000000E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0E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0F0">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BREACH</w:t>
      </w:r>
    </w:p>
    <w:p w:rsidR="00000000" w:rsidDel="00000000" w:rsidP="00000000" w:rsidRDefault="00000000" w:rsidRPr="00000000" w14:paraId="000000F1">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agrees to notify the Buyer</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should it breach any obligations it has under this Part D and agrees that the Buyer</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0F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0F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0F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1v1yuxt" w:id="41"/>
      <w:bookmarkEnd w:id="41"/>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TRANSFER TO ANOTHER EMPLOYER/ SUB- CONTRACTORS</w:t>
      </w:r>
    </w:p>
    <w:p w:rsidR="00000000" w:rsidDel="00000000" w:rsidP="00000000" w:rsidRDefault="00000000" w:rsidRPr="00000000" w14:paraId="000000F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Save on expiry or termination of this Contract, if the employment of any Fair Deal Employee transfers to another employer (by way of a transfer under the Employment Regulations) the Supplier shall and shall procure that any relevant Subcontractor shall:</w:t>
      </w:r>
    </w:p>
    <w:p w:rsidR="00000000" w:rsidDel="00000000" w:rsidP="00000000" w:rsidRDefault="00000000" w:rsidRPr="00000000" w14:paraId="000000F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consult with and inform those Fair Deal Employees of the pension provisions relating to that transfer; and</w:t>
      </w:r>
    </w:p>
    <w:p w:rsidR="00000000" w:rsidDel="00000000" w:rsidP="00000000" w:rsidRDefault="00000000" w:rsidRPr="00000000" w14:paraId="000000F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procure that the employer to which the Fair Deal Employees are transferred (the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"New Employer"</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rsidR="00000000" w:rsidDel="00000000" w:rsidP="00000000" w:rsidRDefault="00000000" w:rsidRPr="00000000" w14:paraId="000000F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4f1mdlm" w:id="42"/>
      <w:bookmarkEnd w:id="42"/>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PENSION ISSUES ON EXPIRY OR TERMINATION</w:t>
      </w:r>
    </w:p>
    <w:p w:rsidR="00000000" w:rsidDel="00000000" w:rsidP="00000000" w:rsidRDefault="00000000" w:rsidRPr="00000000" w14:paraId="000000F9">
      <w:pPr>
        <w:ind w:left="357" w:firstLine="0"/>
        <w:rPr/>
      </w:pPr>
      <w:r w:rsidDel="00000000" w:rsidR="00000000" w:rsidRPr="00000000">
        <w:rPr>
          <w:rtl w:val="0"/>
        </w:rPr>
        <w:t xml:space="preserve">The provisions of Part E: Staff Transfer on Exit (Mandatory) apply in relation to pension issues on expiry or termination of this Contract.</w:t>
      </w:r>
    </w:p>
    <w:p w:rsidR="00000000" w:rsidDel="00000000" w:rsidP="00000000" w:rsidRDefault="00000000" w:rsidRPr="00000000" w14:paraId="000000F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2u6wntf" w:id="43"/>
      <w:bookmarkEnd w:id="43"/>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BROADLY COMPARABLE PENSION SCHEMES</w:t>
      </w:r>
    </w:p>
    <w:p w:rsidR="00000000" w:rsidDel="00000000" w:rsidP="00000000" w:rsidRDefault="00000000" w:rsidRPr="00000000" w14:paraId="000000F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9c6y18" w:id="44"/>
      <w:bookmarkEnd w:id="4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either:</w:t>
      </w:r>
    </w:p>
    <w:p w:rsidR="00000000" w:rsidDel="00000000" w:rsidP="00000000" w:rsidRDefault="00000000" w:rsidRPr="00000000" w14:paraId="000000F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terms of any of Paragraphs 2.2 of Annex D1: CSPS, 5.2 of Annex D2: NHSPS and or 4 of Annex D3: LGPS apply; and/or</w:t>
      </w:r>
    </w:p>
    <w:p w:rsidR="00000000" w:rsidDel="00000000" w:rsidP="00000000" w:rsidRDefault="00000000" w:rsidRPr="00000000" w14:paraId="000000F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agrees, having considered the exceptional cases provided for in New Fair Deal, (such agreement not to be unreasonably withheld) that the Supplier (and/or its Subcontractors, if any) need not continue to provide the Fair Deal Employees, who continue to qualify for Fair Deal Protection, with access to the appropriate Statutory Scheme;</w:t>
      </w:r>
    </w:p>
    <w:p w:rsidR="00000000" w:rsidDel="00000000" w:rsidP="00000000" w:rsidRDefault="00000000" w:rsidRPr="00000000" w14:paraId="000000FE">
      <w:pPr>
        <w:ind w:left="992" w:firstLine="0"/>
        <w:rPr/>
      </w:pPr>
      <w:r w:rsidDel="00000000" w:rsidR="00000000" w:rsidRPr="00000000">
        <w:rPr>
          <w:rtl w:val="0"/>
        </w:rPr>
        <w:t xml:space="preserve">the Supplier must (and must, where relevant, procure that each of its Subcontractors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0F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Supplier has set up a Broadly Comparable pension scheme or schemes pursuant to the provisions of Paragraph 10.1, the Supplier shall (and shall procure that any of its Subcontractors shall):</w:t>
      </w:r>
    </w:p>
    <w:p w:rsidR="00000000" w:rsidDel="00000000" w:rsidP="00000000" w:rsidRDefault="00000000" w:rsidRPr="00000000" w14:paraId="0000010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supply to the Buyer  details of its (or its Subcontractor’s) Broadly Comparable pension scheme and provide a full copy of the valid certificate of broad comparability covering all relevant Fair Deal Employees, as soon as it is able to do so and in any event no later than 28 days before the Relevant Transfer Date;</w:t>
      </w:r>
    </w:p>
    <w:p w:rsidR="00000000" w:rsidDel="00000000" w:rsidP="00000000" w:rsidRDefault="00000000" w:rsidRPr="00000000" w14:paraId="0000010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fully fund any such Broadly Comparable pension scheme in accordance with the funding requirements set by that Broadly Comparable pension scheme’s Actuary or by the Government Actuary’s Department for the period ending on the Service Transfer Date;</w:t>
      </w:r>
    </w:p>
    <w:p w:rsidR="00000000" w:rsidDel="00000000" w:rsidP="00000000" w:rsidRDefault="00000000" w:rsidRPr="00000000" w14:paraId="0000010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instruct any such Broadly Comparable pension scheme’s Actuary to, and to provide all such co-operation and assistance in respect of any such Broadly Comparable pension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rsidR="00000000" w:rsidDel="00000000" w:rsidP="00000000" w:rsidRDefault="00000000" w:rsidRPr="00000000" w14:paraId="0000010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provide a replacement Broadly Comparable pension scheme with immediate effect for those Fair Deal Employees who are still employed by the Supplier and/or relevant Subcontractor and are still eligible for New Fair Deal protection in the event that the Supplier and/or Subcontractor's Broadly Comparable pension scheme is terminated; </w:t>
      </w:r>
    </w:p>
    <w:p w:rsidR="00000000" w:rsidDel="00000000" w:rsidP="00000000" w:rsidRDefault="00000000" w:rsidRPr="00000000" w14:paraId="0000010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tbugp1" w:id="45"/>
      <w:bookmarkEnd w:id="4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"Shortfall"</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the Supplier or the Subcontractor (as agreed between them) must pay the Statutory Scheme, as required, provided that in the absence of any agreement between the Supplier and any Subcontractor, the Shortfall shall be paid by the Supplier;  and</w:t>
      </w:r>
    </w:p>
    <w:p w:rsidR="00000000" w:rsidDel="00000000" w:rsidP="00000000" w:rsidRDefault="00000000" w:rsidRPr="00000000" w14:paraId="0000010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indemnify CCS and/or the Buyer and/or NHS Pension and/or CSPS and/or the relevant Administering Authority and/or on demand for any failure to pay the Shortfall as required under Paragraph 10.2.5 above.</w:t>
      </w:r>
    </w:p>
    <w:p w:rsidR="00000000" w:rsidDel="00000000" w:rsidP="00000000" w:rsidRDefault="00000000" w:rsidRPr="00000000" w14:paraId="0000010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Such Broadly Comparable pension scheme must be:</w:t>
      </w:r>
    </w:p>
    <w:p w:rsidR="00000000" w:rsidDel="00000000" w:rsidP="00000000" w:rsidRDefault="00000000" w:rsidRPr="00000000" w14:paraId="0000010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established by the Relevant Transfer Date or if later cessation of participation in the Statutory Scheme;</w:t>
      </w:r>
    </w:p>
    <w:p w:rsidR="00000000" w:rsidDel="00000000" w:rsidP="00000000" w:rsidRDefault="00000000" w:rsidRPr="00000000" w14:paraId="0000010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registered pension scheme for the purposes of Part 4 of the Finance Act 2004;</w:t>
      </w:r>
    </w:p>
    <w:p w:rsidR="00000000" w:rsidDel="00000000" w:rsidP="00000000" w:rsidRDefault="00000000" w:rsidRPr="00000000" w14:paraId="0000010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capable of receiving a bulk transfer from the relevant Statutory Scheme or from a Former Supplier’s Broadly Comparable pension scheme )or the relevant Statutory Scheme if applicable) (unless otherwise instructed by the Buyer); and</w:t>
      </w:r>
    </w:p>
    <w:p w:rsidR="00000000" w:rsidDel="00000000" w:rsidP="00000000" w:rsidRDefault="00000000" w:rsidRPr="00000000" w14:paraId="0000010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maintained until such bulk transfer payments have been received or paid (unless otherwise instructed by the Buyer).</w:t>
      </w:r>
    </w:p>
    <w:p w:rsidR="00000000" w:rsidDel="00000000" w:rsidP="00000000" w:rsidRDefault="00000000" w:rsidRPr="00000000" w14:paraId="0000010B">
      <w:pPr>
        <w:jc w:val="center"/>
        <w:rPr/>
      </w:pPr>
      <w:r w:rsidDel="00000000" w:rsidR="00000000" w:rsidRPr="00000000">
        <w:br w:type="page"/>
      </w:r>
      <w:r w:rsidDel="00000000" w:rsidR="00000000" w:rsidRPr="00000000">
        <w:rPr>
          <w:b w:val="1"/>
          <w:rtl w:val="0"/>
        </w:rPr>
        <w:t xml:space="preserve">Annex D1: CSPS </w:t>
      </w:r>
      <w:r w:rsidDel="00000000" w:rsidR="00000000" w:rsidRPr="00000000">
        <w:rPr>
          <w:rtl w:val="0"/>
        </w:rPr>
      </w:r>
    </w:p>
    <w:p w:rsidR="00000000" w:rsidDel="00000000" w:rsidP="00000000" w:rsidRDefault="00000000" w:rsidRPr="00000000" w14:paraId="0000010C">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DEFINITIONS</w:t>
      </w:r>
    </w:p>
    <w:p w:rsidR="00000000" w:rsidDel="00000000" w:rsidP="00000000" w:rsidRDefault="00000000" w:rsidRPr="00000000" w14:paraId="0000010D">
      <w:pPr>
        <w:keepNext w:val="1"/>
        <w:ind w:left="368" w:hanging="11.000000000000014"/>
        <w:rPr/>
      </w:pPr>
      <w:r w:rsidDel="00000000" w:rsidR="00000000" w:rsidRPr="00000000">
        <w:rPr>
          <w:rtl w:val="0"/>
        </w:rPr>
        <w:t xml:space="preserve">In this Annex D1: CSPS to Part D: Pensions, the following words have the following meanings and they shall supplement Schedule J1: Definitions:</w:t>
      </w:r>
    </w:p>
    <w:tbl>
      <w:tblPr>
        <w:tblStyle w:val="Table3"/>
        <w:tblW w:w="9378.0" w:type="dxa"/>
        <w:jc w:val="left"/>
        <w:tblLayout w:type="fixed"/>
        <w:tblLook w:val="0000"/>
      </w:tblPr>
      <w:tblGrid>
        <w:gridCol w:w="2835"/>
        <w:gridCol w:w="6543"/>
        <w:tblGridChange w:id="0">
          <w:tblGrid>
            <w:gridCol w:w="2835"/>
            <w:gridCol w:w="6543"/>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0E">
            <w:pPr>
              <w:spacing w:after="120" w:before="120" w:lineRule="auto"/>
              <w:ind w:left="709" w:firstLine="0"/>
              <w:rPr>
                <w:b w:val="1"/>
                <w:color w:val="000000"/>
              </w:rPr>
            </w:pPr>
            <w:r w:rsidDel="00000000" w:rsidR="00000000" w:rsidRPr="00000000">
              <w:rPr>
                <w:b w:val="1"/>
                <w:color w:val="000000"/>
                <w:rtl w:val="0"/>
              </w:rPr>
              <w:t xml:space="preserve">"CSPS Admission Agreement"</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0F">
            <w:pPr>
              <w:tabs>
                <w:tab w:val="left" w:leader="none" w:pos="235"/>
              </w:tabs>
              <w:spacing w:after="120" w:before="120" w:lineRule="auto"/>
              <w:rPr>
                <w:color w:val="000000"/>
              </w:rPr>
            </w:pPr>
            <w:r w:rsidDel="00000000" w:rsidR="00000000" w:rsidRPr="00000000">
              <w:rPr>
                <w:color w:val="000000"/>
                <w:rtl w:val="0"/>
              </w:rPr>
              <w:t xml:space="preserve">an admission agreement in the form available on the Civil Service Pensions website immediately prior to the Relevant Transfer Date to be entered into for the CSPS in respect of the Services;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0">
            <w:pPr>
              <w:spacing w:after="120" w:before="120" w:lineRule="auto"/>
              <w:ind w:left="709" w:firstLine="0"/>
              <w:rPr>
                <w:b w:val="1"/>
                <w:color w:val="000000"/>
              </w:rPr>
            </w:pPr>
            <w:r w:rsidDel="00000000" w:rsidR="00000000" w:rsidRPr="00000000">
              <w:rPr>
                <w:b w:val="1"/>
                <w:color w:val="000000"/>
                <w:rtl w:val="0"/>
              </w:rPr>
              <w:t xml:space="preserve">"CSPS Eligible Employee"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1">
            <w:pPr>
              <w:tabs>
                <w:tab w:val="left" w:leader="none" w:pos="235"/>
              </w:tabs>
              <w:spacing w:after="120" w:before="120" w:lineRule="auto"/>
              <w:rPr>
                <w:color w:val="000000"/>
              </w:rPr>
            </w:pPr>
            <w:r w:rsidDel="00000000" w:rsidR="00000000" w:rsidRPr="00000000">
              <w:rPr>
                <w:color w:val="000000"/>
                <w:rtl w:val="0"/>
              </w:rPr>
              <w:t xml:space="preserve">any Fair Deal Employee who at the relevant time is an eligible employee as defined in the CSPS Admission Agreement;</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2">
            <w:pPr>
              <w:spacing w:after="120" w:before="120" w:lineRule="auto"/>
              <w:ind w:left="709" w:firstLine="0"/>
              <w:rPr>
                <w:b w:val="1"/>
                <w:color w:val="000000"/>
              </w:rPr>
            </w:pPr>
            <w:r w:rsidDel="00000000" w:rsidR="00000000" w:rsidRPr="00000000">
              <w:rPr>
                <w:b w:val="1"/>
                <w:color w:val="000000"/>
                <w:rtl w:val="0"/>
              </w:rPr>
              <w:t xml:space="preserve">"CSPS"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3">
            <w:pPr>
              <w:spacing w:after="120" w:before="120" w:lineRule="auto"/>
              <w:rPr>
                <w:color w:val="000000"/>
              </w:rPr>
            </w:pPr>
            <w:r w:rsidDel="00000000" w:rsidR="00000000" w:rsidRPr="00000000">
              <w:rPr>
                <w:color w:val="000000"/>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Scheme and (ii) Death Benefits Scheme; the Civil Service Additional Voluntary Contribution Scheme; the Designated Stakeholder Pension Scheme</w:t>
            </w:r>
            <w:r w:rsidDel="00000000" w:rsidR="00000000" w:rsidRPr="00000000">
              <w:rPr>
                <w:rtl w:val="0"/>
              </w:rPr>
              <w:t xml:space="preserve"> (</w:t>
            </w:r>
            <w:r w:rsidDel="00000000" w:rsidR="00000000" w:rsidRPr="00000000">
              <w:rPr>
                <w:color w:val="000000"/>
                <w:rtl w:val="0"/>
              </w:rPr>
              <w:t xml:space="preserve">which is scheduled to close to new members in September 2018)  and "alpha" introduced under The Public Service (Civil Servants and Others) Pensions Regulations 2014.</w:t>
            </w:r>
          </w:p>
        </w:tc>
      </w:tr>
    </w:tbl>
    <w:p w:rsidR="00000000" w:rsidDel="00000000" w:rsidP="00000000" w:rsidRDefault="00000000" w:rsidRPr="00000000" w14:paraId="00000114">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FUTURE SERVICE BENEFITS  </w:t>
      </w:r>
    </w:p>
    <w:p w:rsidR="00000000" w:rsidDel="00000000" w:rsidP="00000000" w:rsidRDefault="00000000" w:rsidRPr="00000000" w14:paraId="0000011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secure a CSPS Admission Agreement and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rsidR="00000000" w:rsidDel="00000000" w:rsidP="00000000" w:rsidRDefault="00000000" w:rsidRPr="00000000" w14:paraId="0000011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8h4qwu" w:id="46"/>
      <w:bookmarkEnd w:id="4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Comparable to the CSPS on the date the CSPS Eligible Employees ceased to participate in the CSPS.</w:t>
      </w:r>
    </w:p>
    <w:p w:rsidR="00000000" w:rsidDel="00000000" w:rsidP="00000000" w:rsidRDefault="00000000" w:rsidRPr="00000000" w14:paraId="00000117">
      <w:pPr>
        <w:rPr/>
      </w:pPr>
      <w:r w:rsidDel="00000000" w:rsidR="00000000" w:rsidRPr="00000000">
        <w:rPr>
          <w:rtl w:val="0"/>
        </w:rPr>
      </w:r>
    </w:p>
    <w:p w:rsidR="00000000" w:rsidDel="00000000" w:rsidP="00000000" w:rsidRDefault="00000000" w:rsidRPr="00000000" w14:paraId="00000118">
      <w:pPr>
        <w:jc w:val="center"/>
        <w:rPr/>
      </w:pPr>
      <w:r w:rsidDel="00000000" w:rsidR="00000000" w:rsidRPr="00000000">
        <w:br w:type="page"/>
      </w:r>
      <w:r w:rsidDel="00000000" w:rsidR="00000000" w:rsidRPr="00000000">
        <w:rPr>
          <w:b w:val="1"/>
          <w:rtl w:val="0"/>
        </w:rPr>
        <w:t xml:space="preserve">Annex D2: NHSPS</w:t>
      </w:r>
      <w:r w:rsidDel="00000000" w:rsidR="00000000" w:rsidRPr="00000000">
        <w:rPr>
          <w:rtl w:val="0"/>
        </w:rPr>
      </w:r>
    </w:p>
    <w:p w:rsidR="00000000" w:rsidDel="00000000" w:rsidP="00000000" w:rsidRDefault="00000000" w:rsidRPr="00000000" w14:paraId="00000119">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DEFINITIONS</w:t>
      </w:r>
    </w:p>
    <w:p w:rsidR="00000000" w:rsidDel="00000000" w:rsidP="00000000" w:rsidRDefault="00000000" w:rsidRPr="00000000" w14:paraId="0000011A">
      <w:pPr>
        <w:keepNext w:val="1"/>
        <w:ind w:left="368" w:hanging="11.000000000000014"/>
        <w:rPr/>
      </w:pPr>
      <w:r w:rsidDel="00000000" w:rsidR="00000000" w:rsidRPr="00000000">
        <w:rPr>
          <w:rtl w:val="0"/>
        </w:rPr>
        <w:t xml:space="preserve">In this Annex D2: NHSPS to Part D: Pensions, the following words have the following meanings and they shall supplement Schedule J1: Definitions:</w:t>
      </w:r>
    </w:p>
    <w:tbl>
      <w:tblPr>
        <w:tblStyle w:val="Table4"/>
        <w:tblW w:w="9242.0" w:type="dxa"/>
        <w:jc w:val="left"/>
        <w:tblLayout w:type="fixed"/>
        <w:tblLook w:val="0000"/>
      </w:tblPr>
      <w:tblGrid>
        <w:gridCol w:w="3085"/>
        <w:gridCol w:w="6157"/>
        <w:tblGridChange w:id="0">
          <w:tblGrid>
            <w:gridCol w:w="3085"/>
            <w:gridCol w:w="6157"/>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B">
            <w:pPr>
              <w:spacing w:after="120" w:before="120" w:lineRule="auto"/>
              <w:ind w:left="720" w:firstLine="0"/>
              <w:jc w:val="left"/>
              <w:rPr>
                <w:b w:val="1"/>
              </w:rPr>
            </w:pPr>
            <w:r w:rsidDel="00000000" w:rsidR="00000000" w:rsidRPr="00000000">
              <w:rPr>
                <w:b w:val="1"/>
                <w:rtl w:val="0"/>
              </w:rPr>
              <w:t xml:space="preserve">"Direction Letter"</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C">
            <w:pPr>
              <w:tabs>
                <w:tab w:val="left" w:leader="none" w:pos="235"/>
              </w:tabs>
              <w:spacing w:after="120" w:before="120" w:lineRule="auto"/>
              <w:rPr>
                <w:color w:val="000000"/>
              </w:rPr>
            </w:pPr>
            <w:r w:rsidDel="00000000" w:rsidR="00000000" w:rsidRPr="00000000">
              <w:rPr>
                <w:color w:val="000000"/>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Eligible Employees;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D">
            <w:pPr>
              <w:spacing w:after="120" w:before="120" w:lineRule="auto"/>
              <w:ind w:left="720" w:firstLine="0"/>
              <w:jc w:val="left"/>
              <w:rPr>
                <w:b w:val="1"/>
              </w:rPr>
            </w:pPr>
            <w:r w:rsidDel="00000000" w:rsidR="00000000" w:rsidRPr="00000000">
              <w:rPr>
                <w:b w:val="1"/>
                <w:rtl w:val="0"/>
              </w:rPr>
              <w:t xml:space="preserve">"NHSPS Eligible Employees"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E">
            <w:pPr>
              <w:tabs>
                <w:tab w:val="left" w:leader="none" w:pos="235"/>
              </w:tabs>
              <w:spacing w:after="120" w:before="120" w:lineRule="auto"/>
              <w:rPr>
                <w:color w:val="000000"/>
              </w:rPr>
            </w:pPr>
            <w:r w:rsidDel="00000000" w:rsidR="00000000" w:rsidRPr="00000000">
              <w:rPr>
                <w:color w:val="000000"/>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F">
            <w:pPr>
              <w:spacing w:after="120" w:before="120" w:lineRule="auto"/>
              <w:ind w:left="720" w:firstLine="0"/>
              <w:jc w:val="left"/>
              <w:rPr>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0">
            <w:pPr>
              <w:widowControl w:val="0"/>
              <w:numPr>
                <w:ilvl w:val="0"/>
                <w:numId w:val="8"/>
              </w:numPr>
              <w:tabs>
                <w:tab w:val="left" w:leader="none" w:pos="695"/>
              </w:tabs>
              <w:spacing w:after="120" w:before="120" w:lineRule="auto"/>
              <w:ind w:left="743" w:hanging="709"/>
              <w:rPr>
                <w:color w:val="000000"/>
              </w:rPr>
            </w:pPr>
            <w:r w:rsidDel="00000000" w:rsidR="00000000" w:rsidRPr="00000000">
              <w:rPr>
                <w:color w:val="000000"/>
                <w:rtl w:val="0"/>
              </w:rPr>
              <w:t xml:space="preserve">their employment with the Buyer</w:t>
            </w:r>
            <w:r w:rsidDel="00000000" w:rsidR="00000000" w:rsidRPr="00000000">
              <w:rPr>
                <w:i w:val="1"/>
                <w:color w:val="000000"/>
                <w:rtl w:val="0"/>
              </w:rPr>
              <w:t xml:space="preserve">,</w:t>
            </w:r>
            <w:r w:rsidDel="00000000" w:rsidR="00000000" w:rsidRPr="00000000">
              <w:rPr>
                <w:color w:val="000000"/>
                <w:rtl w:val="0"/>
              </w:rPr>
              <w:t xml:space="preserve"> an NHS Body or other employer which participates automatically in the NHSPS; or</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1">
            <w:pPr>
              <w:spacing w:after="120" w:before="120" w:lineRule="auto"/>
              <w:ind w:left="720" w:firstLine="0"/>
              <w:jc w:val="left"/>
              <w:rPr>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2">
            <w:pPr>
              <w:widowControl w:val="0"/>
              <w:numPr>
                <w:ilvl w:val="0"/>
                <w:numId w:val="8"/>
              </w:numPr>
              <w:tabs>
                <w:tab w:val="left" w:leader="none" w:pos="695"/>
              </w:tabs>
              <w:spacing w:after="120" w:before="120" w:lineRule="auto"/>
              <w:ind w:left="695" w:hanging="646"/>
              <w:rPr>
                <w:color w:val="000000"/>
              </w:rPr>
            </w:pPr>
            <w:r w:rsidDel="00000000" w:rsidR="00000000" w:rsidRPr="00000000">
              <w:rPr>
                <w:color w:val="000000"/>
                <w:rtl w:val="0"/>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sidDel="00000000" w:rsidR="00000000" w:rsidRPr="00000000">
              <w:rPr>
                <w:rtl w:val="0"/>
              </w:rPr>
              <w:t xml:space="preserve">entitled</w:t>
            </w:r>
            <w:r w:rsidDel="00000000" w:rsidR="00000000" w:rsidRPr="00000000">
              <w:rPr>
                <w:color w:val="000000"/>
                <w:rtl w:val="0"/>
              </w:rPr>
              <w:t xml:space="preserve"> to protection under New Fair Deal and were permitted to re-join the NHSPS, having been formerly in employment with the Buyer, an NHS Body or other employer who participated automatically in the NHSPS in connection with the Services, prior to being employed by the Former Supplier),</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3">
            <w:pPr>
              <w:spacing w:after="120" w:before="120" w:lineRule="auto"/>
              <w:ind w:left="720" w:firstLine="0"/>
              <w:jc w:val="left"/>
              <w:rPr>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4">
            <w:pPr>
              <w:tabs>
                <w:tab w:val="left" w:leader="none" w:pos="235"/>
              </w:tabs>
              <w:spacing w:after="120" w:before="120" w:lineRule="auto"/>
              <w:rPr>
                <w:color w:val="000000"/>
              </w:rPr>
            </w:pPr>
            <w:r w:rsidDel="00000000" w:rsidR="00000000" w:rsidRPr="00000000">
              <w:rPr>
                <w:color w:val="000000"/>
                <w:rtl w:val="0"/>
              </w:rPr>
              <w:t xml:space="preserve">and, in each case, being continuously engaged for more than fifty per cent (50%) of their employed time in the delivery of services (the same as or similar to the Services).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5">
            <w:pPr>
              <w:spacing w:after="120" w:before="120" w:lineRule="auto"/>
              <w:ind w:left="720" w:firstLine="0"/>
              <w:jc w:val="left"/>
              <w:rPr>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6">
            <w:pPr>
              <w:tabs>
                <w:tab w:val="left" w:leader="none" w:pos="235"/>
              </w:tabs>
              <w:spacing w:after="120" w:before="120" w:lineRule="auto"/>
              <w:rPr>
                <w:color w:val="000000"/>
              </w:rPr>
            </w:pPr>
            <w:r w:rsidDel="00000000" w:rsidR="00000000" w:rsidRPr="00000000">
              <w:rPr>
                <w:color w:val="000000"/>
                <w:rtl w:val="0"/>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7">
            <w:pPr>
              <w:spacing w:after="120" w:before="120" w:lineRule="auto"/>
              <w:ind w:left="993" w:firstLine="0"/>
              <w:jc w:val="left"/>
              <w:rPr>
                <w:b w:val="1"/>
              </w:rPr>
            </w:pPr>
            <w:r w:rsidDel="00000000" w:rsidR="00000000" w:rsidRPr="00000000">
              <w:rPr>
                <w:b w:val="1"/>
                <w:rtl w:val="0"/>
              </w:rPr>
              <w:t xml:space="preserve">"NHS Body"</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8">
            <w:pPr>
              <w:tabs>
                <w:tab w:val="left" w:leader="none" w:pos="235"/>
              </w:tabs>
              <w:spacing w:after="120" w:before="120" w:lineRule="auto"/>
              <w:rPr>
                <w:color w:val="000000"/>
              </w:rPr>
            </w:pPr>
            <w:r w:rsidDel="00000000" w:rsidR="00000000" w:rsidRPr="00000000">
              <w:rPr>
                <w:color w:val="000000"/>
                <w:rtl w:val="0"/>
              </w:rPr>
              <w:t xml:space="preserve">has the meaning given to it in section 275 of the National Health Service Act 2006 as amended by section 138(2)(c) of Schedule 4 to the Health and Social Care Act 2012;</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9">
            <w:pPr>
              <w:spacing w:after="120" w:before="120" w:lineRule="auto"/>
              <w:ind w:left="993" w:firstLine="0"/>
              <w:jc w:val="left"/>
              <w:rPr>
                <w:b w:val="1"/>
              </w:rPr>
            </w:pPr>
            <w:r w:rsidDel="00000000" w:rsidR="00000000" w:rsidRPr="00000000">
              <w:rPr>
                <w:b w:val="1"/>
                <w:rtl w:val="0"/>
              </w:rPr>
              <w:t xml:space="preserve">"NHS Pensions"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A">
            <w:pPr>
              <w:tabs>
                <w:tab w:val="left" w:leader="none" w:pos="235"/>
              </w:tabs>
              <w:spacing w:after="120" w:before="120" w:lineRule="auto"/>
              <w:rPr>
                <w:color w:val="000000"/>
              </w:rPr>
            </w:pPr>
            <w:r w:rsidDel="00000000" w:rsidR="00000000" w:rsidRPr="00000000">
              <w:rPr>
                <w:color w:val="000000"/>
                <w:rtl w:val="0"/>
              </w:rPr>
              <w:t xml:space="preserve">NHS Pensions as the administrators of the NHSPS or such other body as may from time to time be responsible for relevant administrative functions of the NHSPS;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B">
            <w:pPr>
              <w:spacing w:after="120" w:before="120" w:lineRule="auto"/>
              <w:ind w:left="993" w:firstLine="0"/>
              <w:jc w:val="left"/>
              <w:rPr>
                <w:b w:val="1"/>
              </w:rPr>
            </w:pPr>
            <w:r w:rsidDel="00000000" w:rsidR="00000000" w:rsidRPr="00000000">
              <w:rPr>
                <w:b w:val="1"/>
                <w:rtl w:val="0"/>
              </w:rPr>
              <w:t xml:space="preserve">"NHSPS"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C">
            <w:pPr>
              <w:tabs>
                <w:tab w:val="left" w:leader="none" w:pos="235"/>
              </w:tabs>
              <w:spacing w:after="120" w:before="120" w:lineRule="auto"/>
              <w:rPr>
                <w:color w:val="000000"/>
              </w:rPr>
            </w:pPr>
            <w:r w:rsidDel="00000000" w:rsidR="00000000" w:rsidRPr="00000000">
              <w:rPr>
                <w:color w:val="000000"/>
                <w:rtl w:val="0"/>
              </w:rPr>
              <w:t xml:space="preserve">the National Health Service Pension Scheme for England and Wales, established pursuant to the Superannuation Act 1972 and governed by subsequent regulations under that Act including the NHS Pension Scheme Regulations;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D">
            <w:pPr>
              <w:spacing w:after="120" w:before="120" w:lineRule="auto"/>
              <w:ind w:left="993" w:firstLine="0"/>
              <w:jc w:val="left"/>
              <w:rPr>
                <w:b w:val="1"/>
              </w:rPr>
            </w:pPr>
            <w:r w:rsidDel="00000000" w:rsidR="00000000" w:rsidRPr="00000000">
              <w:rPr>
                <w:b w:val="1"/>
                <w:rtl w:val="0"/>
              </w:rPr>
              <w:t xml:space="preserve">"NHS Pension Scheme Arrears"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E">
            <w:pPr>
              <w:tabs>
                <w:tab w:val="left" w:leader="none" w:pos="235"/>
              </w:tabs>
              <w:spacing w:after="120" w:before="120" w:lineRule="auto"/>
              <w:rPr>
                <w:color w:val="000000"/>
              </w:rPr>
            </w:pPr>
            <w:r w:rsidDel="00000000" w:rsidR="00000000" w:rsidRPr="00000000">
              <w:rPr>
                <w:color w:val="000000"/>
                <w:rtl w:val="0"/>
              </w:rPr>
              <w:t xml:space="preserve">any failure on the part of the Supplier or its Subcontractors (if any) to pay employer’s contributions or deduct and pay across employee’s contributions to the NHSPS or meet any other financial obligations under the NHSPS or any Direction Letter in respect of the NHSPS Eligible Employees;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F">
            <w:pPr>
              <w:spacing w:after="120" w:before="120" w:lineRule="auto"/>
              <w:ind w:left="993" w:firstLine="0"/>
              <w:jc w:val="left"/>
              <w:rPr>
                <w:b w:val="1"/>
              </w:rPr>
            </w:pPr>
            <w:r w:rsidDel="00000000" w:rsidR="00000000" w:rsidRPr="00000000">
              <w:rPr>
                <w:b w:val="1"/>
                <w:rtl w:val="0"/>
              </w:rPr>
              <w:t xml:space="preserve">"NHS Pension Scheme Regulations"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0">
            <w:pPr>
              <w:tabs>
                <w:tab w:val="left" w:leader="none" w:pos="235"/>
              </w:tabs>
              <w:spacing w:after="120" w:before="120" w:lineRule="auto"/>
              <w:rPr>
                <w:color w:val="000000"/>
              </w:rPr>
            </w:pPr>
            <w:r w:rsidDel="00000000" w:rsidR="00000000" w:rsidRPr="00000000">
              <w:rPr>
                <w:color w:val="000000"/>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1">
            <w:pPr>
              <w:spacing w:after="120" w:before="120" w:lineRule="auto"/>
              <w:ind w:left="993" w:firstLine="0"/>
              <w:jc w:val="left"/>
              <w:rPr>
                <w:b w:val="1"/>
              </w:rPr>
            </w:pPr>
            <w:r w:rsidDel="00000000" w:rsidR="00000000" w:rsidRPr="00000000">
              <w:rPr>
                <w:b w:val="1"/>
                <w:rtl w:val="0"/>
              </w:rPr>
              <w:t xml:space="preserve">"NHS Premature Retirement Rights"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2">
            <w:pPr>
              <w:tabs>
                <w:tab w:val="left" w:leader="none" w:pos="235"/>
              </w:tabs>
              <w:spacing w:after="120" w:before="120" w:lineRule="auto"/>
              <w:rPr>
                <w:color w:val="000000"/>
              </w:rPr>
            </w:pPr>
            <w:r w:rsidDel="00000000" w:rsidR="00000000" w:rsidRPr="00000000">
              <w:rPr>
                <w:color w:val="000000"/>
                <w:rtl w:val="0"/>
              </w:rPr>
              <w:t xml:space="preserve">rights to which any Fair Deal Employee (had they remained in the employment of the Buyer,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3">
            <w:pPr>
              <w:spacing w:after="120" w:before="120" w:lineRule="auto"/>
              <w:ind w:left="993" w:firstLine="0"/>
              <w:jc w:val="left"/>
              <w:rPr>
                <w:b w:val="1"/>
              </w:rPr>
            </w:pPr>
            <w:r w:rsidDel="00000000" w:rsidR="00000000" w:rsidRPr="00000000">
              <w:rPr>
                <w:b w:val="1"/>
                <w:rtl w:val="0"/>
              </w:rPr>
              <w:t xml:space="preserve">"Pension Benefits"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4">
            <w:pPr>
              <w:tabs>
                <w:tab w:val="left" w:leader="none" w:pos="235"/>
              </w:tabs>
              <w:spacing w:after="120" w:before="120" w:lineRule="auto"/>
              <w:rPr>
                <w:color w:val="000000"/>
              </w:rPr>
            </w:pPr>
            <w:r w:rsidDel="00000000" w:rsidR="00000000" w:rsidRPr="00000000">
              <w:rPr>
                <w:color w:val="000000"/>
                <w:rtl w:val="0"/>
              </w:rPr>
              <w:t xml:space="preserve">any benefits payable in respect of an individual (including but not limited to pensions related allowances and lump sums) relating to old age, invalidity or survivor’s benefits provided under an occupational pension scheme; and</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5">
            <w:pPr>
              <w:spacing w:after="120" w:before="120" w:lineRule="auto"/>
              <w:ind w:left="993" w:firstLine="0"/>
              <w:jc w:val="left"/>
              <w:rPr>
                <w:b w:val="1"/>
              </w:rPr>
            </w:pPr>
            <w:r w:rsidDel="00000000" w:rsidR="00000000" w:rsidRPr="00000000">
              <w:rPr>
                <w:b w:val="1"/>
                <w:rtl w:val="0"/>
              </w:rPr>
              <w:t xml:space="preserve">"Retirement Benefits Scheme"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6">
            <w:pPr>
              <w:tabs>
                <w:tab w:val="left" w:leader="none" w:pos="235"/>
              </w:tabs>
              <w:spacing w:after="120" w:before="120" w:lineRule="auto"/>
              <w:rPr>
                <w:color w:val="000000"/>
              </w:rPr>
            </w:pPr>
            <w:r w:rsidDel="00000000" w:rsidR="00000000" w:rsidRPr="00000000">
              <w:rPr>
                <w:color w:val="000000"/>
                <w:rtl w:val="0"/>
              </w:rPr>
              <w:t xml:space="preserve">a pension scheme registered under Chapter 2 of Part 4 of the Finance Act 2004.</w:t>
            </w:r>
          </w:p>
        </w:tc>
      </w:tr>
    </w:tbl>
    <w:p w:rsidR="00000000" w:rsidDel="00000000" w:rsidP="00000000" w:rsidRDefault="00000000" w:rsidRPr="00000000" w14:paraId="00000137">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nmf14n" w:id="47"/>
      <w:bookmarkEnd w:id="47"/>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MEMBERSHIP OF THE NHSPS</w:t>
      </w:r>
    </w:p>
    <w:p w:rsidR="00000000" w:rsidDel="00000000" w:rsidP="00000000" w:rsidRDefault="00000000" w:rsidRPr="00000000" w14:paraId="00000138">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7m2jsg" w:id="48"/>
      <w:bookmarkEnd w:id="4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accordance with New Fair Deal, the Supplier and/or any of its Subcontractors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p>
    <w:p w:rsidR="00000000" w:rsidDel="00000000" w:rsidP="00000000" w:rsidRDefault="00000000" w:rsidRPr="00000000" w14:paraId="00000139">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mrcu09" w:id="49"/>
      <w:bookmarkEnd w:id="4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must supply to the Buyer</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by or as soon as reasonably practicable after the Relevant Transfer Date a complete copy of each Direction Letter.</w:t>
      </w:r>
    </w:p>
    <w:p w:rsidR="00000000" w:rsidDel="00000000" w:rsidP="00000000" w:rsidRDefault="00000000" w:rsidRPr="00000000" w14:paraId="0000013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6r0co2" w:id="50"/>
      <w:bookmarkEnd w:id="5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p>
    <w:p w:rsidR="00000000" w:rsidDel="00000000" w:rsidP="00000000" w:rsidRDefault="00000000" w:rsidRPr="00000000" w14:paraId="0000013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lwamvv" w:id="51"/>
      <w:bookmarkEnd w:id="5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will (and will procure that its Subcontractors (if any) will) comply with the terms of the Direction Letter, the NHS Pension Scheme Regulations (including any terms which change as a result of changes in Law) and any relevant policy issued by the Department of Health in respect of the NHSPS Eligible Employees for so long as it remains bound by the terms of any such Direction Letter.</w:t>
      </w:r>
    </w:p>
    <w:p w:rsidR="00000000" w:rsidDel="00000000" w:rsidP="00000000" w:rsidRDefault="00000000" w:rsidRPr="00000000" w14:paraId="0000013C">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11kx3o" w:id="52"/>
      <w:bookmarkEnd w:id="5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any employee omitted from the Direction Letter supplied in accordance with Paragraph 2 of this Annex are subsequently found to be an NHSPS Eligible Employee, the Supplier will (and will procure that its Subcontractors (if any) will) treat that person as if they had been an NHSPS Eligible Employee from the Relevant Transfer Date so that their Pension Benefits and NHS Premature Retirement Rights are not adversely affected.</w:t>
      </w:r>
    </w:p>
    <w:p w:rsidR="00000000" w:rsidDel="00000000" w:rsidP="00000000" w:rsidRDefault="00000000" w:rsidRPr="00000000" w14:paraId="0000013D">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l18frh" w:id="53"/>
      <w:bookmarkEnd w:id="5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will (and will procure that its Subcontractors (if any) will) as soon as reasonably practicable and at its (or its Subcontractor’s) cost, obtain any guarantee, bond or indemnity that may from time to time be required by the Secretary of State for Health.</w:t>
      </w:r>
    </w:p>
    <w:p w:rsidR="00000000" w:rsidDel="00000000" w:rsidP="00000000" w:rsidRDefault="00000000" w:rsidRPr="00000000" w14:paraId="0000013E">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206ipza" w:id="54"/>
      <w:bookmarkEnd w:id="54"/>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FUTURE SERVICE BENEFITS IN THE NHSPS</w:t>
      </w:r>
    </w:p>
    <w:p w:rsidR="00000000" w:rsidDel="00000000" w:rsidP="00000000" w:rsidRDefault="00000000" w:rsidRPr="00000000" w14:paraId="0000013F">
      <w:pPr>
        <w:tabs>
          <w:tab w:val="left" w:leader="none" w:pos="709"/>
        </w:tabs>
        <w:spacing w:after="120" w:before="120" w:lineRule="auto"/>
        <w:ind w:left="371" w:hanging="13.999999999999986"/>
        <w:rPr/>
      </w:pPr>
      <w:r w:rsidDel="00000000" w:rsidR="00000000" w:rsidRPr="00000000">
        <w:rPr>
          <w:rtl w:val="0"/>
        </w:rPr>
        <w:t xml:space="preserve">The Supplier will procure that with effect from the Relevant Transfer Date the NHSPS Eligible Employees shall be either eligible for or remain in continuous active membership of (as the case may be) the NHSPS for employment from (and including) the Relevant Transfer Date.</w:t>
      </w:r>
    </w:p>
    <w:p w:rsidR="00000000" w:rsidDel="00000000" w:rsidP="00000000" w:rsidRDefault="00000000" w:rsidRPr="00000000" w14:paraId="00000140">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4k668n3" w:id="55"/>
      <w:bookmarkEnd w:id="55"/>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NHS PREMATURE RETIREMENT RIGHTS</w:t>
      </w:r>
    </w:p>
    <w:p w:rsidR="00000000" w:rsidDel="00000000" w:rsidP="00000000" w:rsidRDefault="00000000" w:rsidRPr="00000000" w14:paraId="00000141">
      <w:pPr>
        <w:ind w:left="357" w:firstLine="0"/>
        <w:rPr/>
      </w:pPr>
      <w:bookmarkStart w:colFirst="0" w:colLast="0" w:name="_heading=h.2zbgiuw" w:id="56"/>
      <w:bookmarkEnd w:id="56"/>
      <w:r w:rsidDel="00000000" w:rsidR="00000000" w:rsidRPr="00000000">
        <w:rPr>
          <w:rtl w:val="0"/>
        </w:rPr>
        <w:t xml:space="preserve">From the Relevant Transfer Date until the Service Transfer Date, the Supplier must provide (and/or must ensure that its Subcontractors (if any) provide) NHS Premature Retirement Rights in respect of the NHSPS Eligible Employees that are identical to the benefits they would have received had they remained employees of the Buyer, an NHS Body or other employer which participates automatically in the NHSPS.</w:t>
      </w:r>
    </w:p>
    <w:p w:rsidR="00000000" w:rsidDel="00000000" w:rsidP="00000000" w:rsidRDefault="00000000" w:rsidRPr="00000000" w14:paraId="00000142">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1egqt2p" w:id="57"/>
      <w:bookmarkEnd w:id="57"/>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BREACH AND CANCELLATION OF ANY DIRECTION LETTER(S) AND RIGHT OF SET-OFF</w:t>
      </w:r>
    </w:p>
    <w:p w:rsidR="00000000" w:rsidDel="00000000" w:rsidP="00000000" w:rsidRDefault="00000000" w:rsidRPr="00000000" w14:paraId="00000143">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ygebqi" w:id="58"/>
      <w:bookmarkEnd w:id="5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 Notwithstanding the provisions of the foregoing, the Supplier shall notify the Buyer in the event that it (or its Subcontractor) breaches the terms of its Direction Letter.</w:t>
      </w:r>
    </w:p>
    <w:p w:rsidR="00000000" w:rsidDel="00000000" w:rsidP="00000000" w:rsidRDefault="00000000" w:rsidRPr="00000000" w14:paraId="00000144">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dlolyb" w:id="59"/>
      <w:bookmarkEnd w:id="5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Buyer is entitled to terminate the Contract or the Supplier (or its Subcontractor, if relevant) ceases to participate in the NHSPS for whatever other reason, the</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Buyer</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may in its sole discretion, and instead of exercising its right to terminate this Contract where relevant, permit the Supplier (or any such Subcontractor, as appropriate) to offer Broadly Comparable Pension Benefits, on such terms as decided by the Buyer. The provisions of Paragraph 10 (Bulk Transfer Obligations in relation to any Broadly Comparable pension scheme) of Part D: Pensions shall apply in relation to any Broadly Comparable pension scheme established by the Supplier or its Subcontractors.</w:t>
      </w:r>
    </w:p>
    <w:p w:rsidR="00000000" w:rsidDel="00000000" w:rsidP="00000000" w:rsidRDefault="00000000" w:rsidRPr="00000000" w14:paraId="00000145">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sqyw64" w:id="60"/>
      <w:bookmarkEnd w:id="6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addition to the Buyer's</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right to terminate the Contract, if the Buyer is notified by NHS Pensions of any NHS Pension Scheme Arrears, the Buyer will be entitled to deduct all or part of those arrears from any amount due to be paid under this Contract or otherwise.</w:t>
      </w:r>
    </w:p>
    <w:p w:rsidR="00000000" w:rsidDel="00000000" w:rsidP="00000000" w:rsidRDefault="00000000" w:rsidRPr="00000000" w14:paraId="00000146">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3cqmetx" w:id="61"/>
      <w:bookmarkEnd w:id="61"/>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COMPENSATION</w:t>
      </w:r>
    </w:p>
    <w:p w:rsidR="00000000" w:rsidDel="00000000" w:rsidP="00000000" w:rsidRDefault="00000000" w:rsidRPr="00000000" w14:paraId="00000147">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rvwp1q" w:id="62"/>
      <w:bookmarkEnd w:id="6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Supplier (or its Subcontractor, if relevant) is unable to provide the NHSPS Eligible Employees with either: </w:t>
      </w:r>
    </w:p>
    <w:p w:rsidR="00000000" w:rsidDel="00000000" w:rsidP="00000000" w:rsidRDefault="00000000" w:rsidRPr="00000000" w14:paraId="00000148">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bvk7pj" w:id="63"/>
      <w:bookmarkEnd w:id="6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membership of the NHSPS (having used its best endeavours to secure a Direction Letter); or </w:t>
      </w:r>
    </w:p>
    <w:p w:rsidR="00000000" w:rsidDel="00000000" w:rsidP="00000000" w:rsidRDefault="00000000" w:rsidRPr="00000000" w14:paraId="00000149">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r0uhxc" w:id="64"/>
      <w:bookmarkEnd w:id="6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access to a Broadly Comparable pension scheme, </w:t>
      </w:r>
    </w:p>
    <w:p w:rsidR="00000000" w:rsidDel="00000000" w:rsidP="00000000" w:rsidRDefault="00000000" w:rsidRPr="00000000" w14:paraId="0000014A">
      <w:pPr>
        <w:tabs>
          <w:tab w:val="left" w:leader="none" w:pos="709"/>
        </w:tabs>
        <w:spacing w:after="120" w:before="120" w:lineRule="auto"/>
        <w:ind w:left="993" w:firstLine="0"/>
        <w:rPr/>
      </w:pPr>
      <w:r w:rsidDel="00000000" w:rsidR="00000000" w:rsidRPr="00000000">
        <w:rPr>
          <w:rtl w:val="0"/>
        </w:rPr>
        <w:t xml:space="preserve">the Buyer</w:t>
      </w:r>
      <w:r w:rsidDel="00000000" w:rsidR="00000000" w:rsidRPr="00000000">
        <w:rPr>
          <w:i w:val="1"/>
          <w:rtl w:val="0"/>
        </w:rPr>
        <w:t xml:space="preserve"> </w:t>
      </w:r>
      <w:r w:rsidDel="00000000" w:rsidR="00000000" w:rsidRPr="00000000">
        <w:rPr>
          <w:rtl w:val="0"/>
        </w:rPr>
        <w:t xml:space="preserve">may in its sole discretion permit the Supplier (or any of its Subcontractors) to compensate the NHSPS Eligible Employees in a manner that is Broadly Comparable or equivalent in cash terms, the Supplier (or Subcontractor as relevant) having consulted with a view to reaching agreement with any recognised trade union or, in the absence of such body, the NHSPS Eligible Employees.  The Supplier must meet (or must procure that the relevant Subcontractor meets) the costs of the Buyer</w:t>
      </w:r>
      <w:r w:rsidDel="00000000" w:rsidR="00000000" w:rsidRPr="00000000">
        <w:rPr>
          <w:i w:val="1"/>
          <w:rtl w:val="0"/>
        </w:rPr>
        <w:t xml:space="preserve"> </w:t>
      </w:r>
      <w:r w:rsidDel="00000000" w:rsidR="00000000" w:rsidRPr="00000000">
        <w:rPr>
          <w:rtl w:val="0"/>
        </w:rPr>
        <w:t xml:space="preserve">determining whether the level of compensation offered is reasonable in the circumstances.</w:t>
      </w:r>
    </w:p>
    <w:p w:rsidR="00000000" w:rsidDel="00000000" w:rsidP="00000000" w:rsidRDefault="00000000" w:rsidRPr="00000000" w14:paraId="0000014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664s55" w:id="65"/>
      <w:bookmarkEnd w:id="6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4C">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3q5sasy" w:id="66"/>
      <w:bookmarkEnd w:id="66"/>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SUPPLIER INDEMNITIES</w:t>
      </w:r>
    </w:p>
    <w:p w:rsidR="00000000" w:rsidDel="00000000" w:rsidP="00000000" w:rsidRDefault="00000000" w:rsidRPr="00000000" w14:paraId="0000014D">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5b2l0r" w:id="67"/>
      <w:bookmarkEnd w:id="6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4E">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kgcv8k" w:id="68"/>
      <w:bookmarkEnd w:id="6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must indemnify and keep indemnified the Buyer, NHS Pensions and any Replacement Supplier against all Losses arising out of the Supplier (or its Subcontractor) allowing anyone who is not an NHSPS Eligible Employee to join or claim membership of the NHSPS at any time during the Contract Period.</w:t>
      </w:r>
    </w:p>
    <w:p w:rsidR="00000000" w:rsidDel="00000000" w:rsidP="00000000" w:rsidRDefault="00000000" w:rsidRPr="00000000" w14:paraId="0000014F">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34g0dwd" w:id="69"/>
      <w:bookmarkEnd w:id="69"/>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SUBCONTRACTORS</w:t>
      </w:r>
    </w:p>
    <w:p w:rsidR="00000000" w:rsidDel="00000000" w:rsidP="00000000" w:rsidRDefault="00000000" w:rsidRPr="00000000" w14:paraId="00000150">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jlao46" w:id="70"/>
      <w:bookmarkEnd w:id="7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Supplier enters into a Sub-Contract for the delivery of all or part or any component of the Services which will involve the transfer of employment of any NHSPS Eligible Employee it will impose obligations on its Subcontractor in identical terms as those imposed on the Supplier in relation to Pension Benefits and NHS Premature Retirement Rights by this  Annex, including requiring that:</w:t>
      </w:r>
    </w:p>
    <w:p w:rsidR="00000000" w:rsidDel="00000000" w:rsidP="00000000" w:rsidRDefault="00000000" w:rsidRPr="00000000" w14:paraId="00000151">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3ky6rz" w:id="71"/>
      <w:bookmarkEnd w:id="7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Supplier has secured a Direction Letter, the Subcontractor also secures a Direction Letter in respect of the NHSPS Eligible Employees for their future service with the Subcontractor as a condition of being awarded the  Sub-Contract and the Supplier shall be responsible for ensuring that the  Buyer receives a complete copy of each such Subcontractor direction letter as soon as reasonably practicable; or</w:t>
      </w:r>
    </w:p>
    <w:p w:rsidR="00000000" w:rsidDel="00000000" w:rsidP="00000000" w:rsidRDefault="00000000" w:rsidRPr="00000000" w14:paraId="00000152">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iq8gzs" w:id="72"/>
      <w:bookmarkEnd w:id="7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in accordance with Paragraph 4 of this Annex, the Supplier has offered the NHSPS Eligible Employees access to a pension scheme under which the benefits are Broadly Comparable to those provided under the NHSPS, the Subcontractor either secures a Direction Letter in respect of the NHSPS Eligible Employees or (with the prior consent of the Buyer) provides NHSPS Eligible Employees with access to a scheme with Pension Benefits which are Broadly Comparable to those provided under the NHSPS whereupon the provisions of Paragraph 10 below (Bulk Transfer Obligations in relation to any Broadly Comparable Scheme) shall apply.</w:t>
      </w:r>
    </w:p>
    <w:p w:rsidR="00000000" w:rsidDel="00000000" w:rsidP="00000000" w:rsidRDefault="00000000" w:rsidRPr="00000000" w14:paraId="00000153">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xvir7l" w:id="73"/>
      <w:bookmarkEnd w:id="7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procure that each Subcontractor provides indemnities to the Buyer, NHS Pensions and/or any Replacement Supplier and/or Replacement Subcontractor that are identical to the indemnities set out in Paragraph 7 of this Annex B. Where a Subcontractor fails to satisfy any claim made under such one or more indemnities, the Supplier will be liable for satisfying any such claim as if it had provided the indemnity itself.</w:t>
      </w:r>
    </w:p>
    <w:p w:rsidR="00000000" w:rsidDel="00000000" w:rsidP="00000000" w:rsidRDefault="00000000" w:rsidRPr="00000000" w14:paraId="00000154">
      <w:pPr>
        <w:rPr/>
      </w:pPr>
      <w:r w:rsidDel="00000000" w:rsidR="00000000" w:rsidRPr="00000000">
        <w:rPr>
          <w:rtl w:val="0"/>
        </w:rPr>
      </w:r>
    </w:p>
    <w:p w:rsidR="00000000" w:rsidDel="00000000" w:rsidP="00000000" w:rsidRDefault="00000000" w:rsidRPr="00000000" w14:paraId="00000155">
      <w:pPr>
        <w:spacing w:after="120" w:lineRule="auto"/>
        <w:jc w:val="center"/>
        <w:rPr>
          <w:b w:val="1"/>
        </w:rPr>
      </w:pPr>
      <w:r w:rsidDel="00000000" w:rsidR="00000000" w:rsidRPr="00000000">
        <w:br w:type="page"/>
      </w:r>
      <w:r w:rsidDel="00000000" w:rsidR="00000000" w:rsidRPr="00000000">
        <w:rPr>
          <w:b w:val="1"/>
          <w:rtl w:val="0"/>
        </w:rPr>
        <w:t xml:space="preserve">Annex D3: LGPS</w:t>
      </w:r>
    </w:p>
    <w:p w:rsidR="00000000" w:rsidDel="00000000" w:rsidP="00000000" w:rsidRDefault="00000000" w:rsidRPr="00000000" w14:paraId="00000156">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DEFINITIONS</w:t>
      </w:r>
    </w:p>
    <w:p w:rsidR="00000000" w:rsidDel="00000000" w:rsidP="00000000" w:rsidRDefault="00000000" w:rsidRPr="00000000" w14:paraId="00000157">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this Annex D3: LGPS to Part D: Pensions, the following words have the following meanings and they shall supplement Schedule J1: Definitions:</w:t>
      </w:r>
    </w:p>
    <w:tbl>
      <w:tblPr>
        <w:tblStyle w:val="Table5"/>
        <w:tblW w:w="9242.0" w:type="dxa"/>
        <w:jc w:val="left"/>
        <w:tblLayout w:type="fixed"/>
        <w:tblLook w:val="0000"/>
      </w:tblPr>
      <w:tblGrid>
        <w:gridCol w:w="2314"/>
        <w:gridCol w:w="6928"/>
        <w:tblGridChange w:id="0">
          <w:tblGrid>
            <w:gridCol w:w="2314"/>
            <w:gridCol w:w="6928"/>
          </w:tblGrid>
        </w:tblGridChange>
      </w:tblGrid>
      <w:tr>
        <w:trPr>
          <w:cantSplit w:val="0"/>
          <w:trHeight w:val="1062" w:hRule="atLeast"/>
          <w:tblHeader w:val="0"/>
        </w:trPr>
        <w:tc>
          <w:tcPr>
            <w:tcBorders>
              <w:top w:color="000000" w:space="0" w:sz="0" w:val="nil"/>
              <w:left w:color="000000" w:space="0" w:sz="0" w:val="nil"/>
              <w:right w:color="000000" w:space="0" w:sz="0" w:val="nil"/>
            </w:tcBorders>
          </w:tcPr>
          <w:p w:rsidR="00000000" w:rsidDel="00000000" w:rsidP="00000000" w:rsidRDefault="00000000" w:rsidRPr="00000000" w14:paraId="00000158">
            <w:pPr>
              <w:spacing w:after="0" w:lineRule="auto"/>
              <w:ind w:left="720" w:firstLine="0"/>
              <w:rPr/>
            </w:pPr>
            <w:r w:rsidDel="00000000" w:rsidR="00000000" w:rsidRPr="00000000">
              <w:rPr>
                <w:rtl w:val="0"/>
              </w:rPr>
              <w:t xml:space="preserve">"</w:t>
            </w:r>
            <w:r w:rsidDel="00000000" w:rsidR="00000000" w:rsidRPr="00000000">
              <w:rPr>
                <w:b w:val="1"/>
                <w:rtl w:val="0"/>
              </w:rPr>
              <w:t xml:space="preserve">Administering Authority</w:t>
            </w:r>
            <w:r w:rsidDel="00000000" w:rsidR="00000000" w:rsidRPr="00000000">
              <w:rPr>
                <w:rtl w:val="0"/>
              </w:rPr>
              <w:t xml:space="preserve">"</w:t>
            </w:r>
          </w:p>
          <w:p w:rsidR="00000000" w:rsidDel="00000000" w:rsidP="00000000" w:rsidRDefault="00000000" w:rsidRPr="00000000" w14:paraId="00000159">
            <w:pPr>
              <w:ind w:left="720" w:firstLine="0"/>
              <w:rPr/>
            </w:pPr>
            <w:r w:rsidDel="00000000" w:rsidR="00000000" w:rsidRPr="00000000">
              <w:rPr>
                <w:rtl w:val="0"/>
              </w:rPr>
            </w:r>
          </w:p>
        </w:tc>
        <w:tc>
          <w:tcPr>
            <w:tcBorders>
              <w:top w:color="000000" w:space="0" w:sz="0" w:val="nil"/>
              <w:left w:color="000000" w:space="0" w:sz="0" w:val="nil"/>
              <w:right w:color="000000" w:space="0" w:sz="0" w:val="nil"/>
            </w:tcBorders>
          </w:tcPr>
          <w:p w:rsidR="00000000" w:rsidDel="00000000" w:rsidP="00000000" w:rsidRDefault="00000000" w:rsidRPr="00000000" w14:paraId="0000015A">
            <w:pPr>
              <w:spacing w:after="0" w:lineRule="auto"/>
              <w:rPr/>
            </w:pPr>
            <w:r w:rsidDel="00000000" w:rsidR="00000000" w:rsidRPr="00000000">
              <w:rPr>
                <w:rtl w:val="0"/>
              </w:rPr>
              <w:t xml:space="preserve">in relation to the Fund,t</w:t>
            </w:r>
            <w:r w:rsidDel="00000000" w:rsidR="00000000" w:rsidRPr="00000000">
              <w:rPr>
                <w:rtl w:val="0"/>
              </w:rPr>
              <w:t xml:space="preserve">he relevant Administering Authority of that Fund for the purposes of the Local Government Pension Scheme Regulations 2013;</w:t>
            </w:r>
          </w:p>
        </w:tc>
      </w:tr>
      <w:tr>
        <w:trPr>
          <w:cantSplit w:val="0"/>
          <w:trHeight w:val="653" w:hRule="atLeast"/>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15B">
            <w:pPr>
              <w:ind w:left="720" w:firstLine="0"/>
              <w:rPr>
                <w:b w:val="1"/>
              </w:rPr>
            </w:pPr>
            <w:r w:rsidDel="00000000" w:rsidR="00000000" w:rsidRPr="00000000">
              <w:rPr>
                <w:b w:val="1"/>
                <w:rtl w:val="0"/>
              </w:rPr>
              <w:t xml:space="preserve">“Excess Amount”</w:t>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15C">
            <w:pPr>
              <w:rPr/>
            </w:pPr>
            <w:r w:rsidDel="00000000" w:rsidR="00000000" w:rsidRPr="00000000">
              <w:rPr>
                <w:rtl w:val="0"/>
              </w:rPr>
              <w:t xml:space="preserve">any Pension Costs incurred by the Supplier or its Subcontractors in any Pension Period that exceed the Pension Base Cost.</w:t>
            </w:r>
          </w:p>
        </w:tc>
      </w:tr>
      <w:tr>
        <w:trPr>
          <w:cantSplit w:val="0"/>
          <w:trHeight w:val="653"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5D">
            <w:pPr>
              <w:ind w:left="720" w:firstLine="0"/>
              <w:rPr>
                <w:b w:val="1"/>
              </w:rPr>
            </w:pPr>
            <w:r w:rsidDel="00000000" w:rsidR="00000000" w:rsidRPr="00000000">
              <w:rPr>
                <w:b w:val="1"/>
                <w:rtl w:val="0"/>
              </w:rPr>
              <w:t xml:space="preserve">"Fund Actuary"</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5E">
            <w:pPr>
              <w:rPr/>
            </w:pPr>
            <w:r w:rsidDel="00000000" w:rsidR="00000000" w:rsidRPr="00000000">
              <w:rPr>
                <w:rtl w:val="0"/>
              </w:rPr>
              <w:t xml:space="preserve">the actuary to a Fund appointed by the Administering Authority of that Fund;</w:t>
            </w:r>
          </w:p>
        </w:tc>
      </w:tr>
      <w:tr>
        <w:trPr>
          <w:cantSplit w:val="0"/>
          <w:trHeight w:val="33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5F">
            <w:pPr>
              <w:ind w:left="720" w:firstLine="0"/>
              <w:rPr>
                <w:b w:val="1"/>
              </w:rPr>
            </w:pPr>
            <w:r w:rsidDel="00000000" w:rsidR="00000000" w:rsidRPr="00000000">
              <w:rPr>
                <w:b w:val="1"/>
                <w:rtl w:val="0"/>
              </w:rPr>
              <w:t xml:space="preserve">"Fund"</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0">
            <w:pPr>
              <w:rPr/>
            </w:pPr>
            <w:r w:rsidDel="00000000" w:rsidR="00000000" w:rsidRPr="00000000">
              <w:rPr>
                <w:rtl w:val="0"/>
              </w:rPr>
              <w:t xml:space="preserve">the pension fund within the LGPS in relation to which the relevant LGPS Eligible Employee was a member of, or was entitled to become a member of, immediately before the Relevant Transfer Date (or, in the case of an LGPS Eligible Employee who was a member of, or was entitled to become a member of a scheme Broadly Comparable to the LGPS immediately before the Relevant Transfer Date, the Fund which the Buyer determines is the applicable Fund (in consultation with the Administering Authority for that Fund having regard to the requirements of the LGPS Regulations);</w:t>
            </w:r>
            <w:r w:rsidDel="00000000" w:rsidR="00000000" w:rsidRPr="00000000">
              <w:rPr>
                <w:rtl w:val="0"/>
              </w:rPr>
            </w:r>
          </w:p>
        </w:tc>
      </w:tr>
      <w:tr>
        <w:trPr>
          <w:cantSplit w:val="0"/>
          <w:trHeight w:val="1269"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1">
            <w:pPr>
              <w:ind w:left="720" w:firstLine="0"/>
              <w:rPr/>
            </w:pPr>
            <w:r w:rsidDel="00000000" w:rsidR="00000000" w:rsidRPr="00000000">
              <w:rPr>
                <w:rtl w:val="0"/>
              </w:rPr>
              <w:t xml:space="preserve">"</w:t>
            </w:r>
            <w:r w:rsidDel="00000000" w:rsidR="00000000" w:rsidRPr="00000000">
              <w:rPr>
                <w:b w:val="1"/>
                <w:rtl w:val="0"/>
              </w:rPr>
              <w:t xml:space="preserve">LGPS</w:t>
            </w: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2">
            <w:pPr>
              <w:rPr/>
            </w:pPr>
            <w:r w:rsidDel="00000000" w:rsidR="00000000" w:rsidRPr="00000000">
              <w:rPr>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0"/>
          <w:trHeight w:val="99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3">
            <w:pPr>
              <w:ind w:left="720" w:firstLine="0"/>
              <w:rPr/>
            </w:pPr>
            <w:r w:rsidDel="00000000" w:rsidR="00000000" w:rsidRPr="00000000">
              <w:rPr>
                <w:rtl w:val="0"/>
              </w:rPr>
              <w:t xml:space="preserve">"</w:t>
            </w:r>
            <w:r w:rsidDel="00000000" w:rsidR="00000000" w:rsidRPr="00000000">
              <w:rPr>
                <w:b w:val="1"/>
                <w:rtl w:val="0"/>
              </w:rPr>
              <w:t xml:space="preserve">LGPS Admission Agreement</w:t>
            </w: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4">
            <w:pPr>
              <w:rPr/>
            </w:pPr>
            <w:r w:rsidDel="00000000" w:rsidR="00000000" w:rsidRPr="00000000">
              <w:rPr>
                <w:rtl w:val="0"/>
              </w:rPr>
              <w:t xml:space="preserve">an admission agreement within the meaning  in Schedule 1 of the  Local Government Pension Scheme Regulations 2013;</w:t>
            </w:r>
          </w:p>
        </w:tc>
      </w:tr>
      <w:tr>
        <w:trPr>
          <w:cantSplit w:val="0"/>
          <w:trHeight w:val="90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5">
            <w:pPr>
              <w:ind w:left="720" w:firstLine="0"/>
              <w:rPr/>
            </w:pPr>
            <w:r w:rsidDel="00000000" w:rsidR="00000000" w:rsidRPr="00000000">
              <w:rPr>
                <w:rtl w:val="0"/>
              </w:rPr>
              <w:t xml:space="preserve">"</w:t>
            </w:r>
            <w:r w:rsidDel="00000000" w:rsidR="00000000" w:rsidRPr="00000000">
              <w:rPr>
                <w:b w:val="1"/>
                <w:rtl w:val="0"/>
              </w:rPr>
              <w:t xml:space="preserve">LGPS Admission Body</w:t>
            </w: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6">
            <w:pPr>
              <w:rPr/>
            </w:pPr>
            <w:r w:rsidDel="00000000" w:rsidR="00000000" w:rsidRPr="00000000">
              <w:rPr>
                <w:rtl w:val="0"/>
              </w:rPr>
              <w:t xml:space="preserve">an admission body (within the meaning of Part 3 of Schedule 2 of the  Local Government Pension Scheme Regulations 2013);</w:t>
            </w:r>
          </w:p>
        </w:tc>
      </w:tr>
      <w:tr>
        <w:trPr>
          <w:cantSplit w:val="0"/>
          <w:trHeight w:val="90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7">
            <w:pPr>
              <w:ind w:left="720" w:firstLine="0"/>
              <w:rPr/>
            </w:pPr>
            <w:r w:rsidDel="00000000" w:rsidR="00000000" w:rsidRPr="00000000">
              <w:rPr>
                <w:rtl w:val="0"/>
              </w:rPr>
              <w:t xml:space="preserve">"</w:t>
            </w:r>
            <w:r w:rsidDel="00000000" w:rsidR="00000000" w:rsidRPr="00000000">
              <w:rPr>
                <w:b w:val="1"/>
                <w:rtl w:val="0"/>
              </w:rPr>
              <w:t xml:space="preserve">LGPS Eligible Employees</w:t>
            </w: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8">
            <w:pPr>
              <w:rPr/>
            </w:pPr>
            <w:r w:rsidDel="00000000" w:rsidR="00000000" w:rsidRPr="00000000">
              <w:rPr>
                <w:rtl w:val="0"/>
              </w:rPr>
              <w:t xml:space="preserve">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w:t>
            </w:r>
          </w:p>
        </w:tc>
      </w:tr>
      <w:tr>
        <w:trPr>
          <w:cantSplit w:val="0"/>
          <w:trHeight w:val="1665" w:hRule="atLeast"/>
          <w:tblHeader w:val="0"/>
        </w:trPr>
        <w:tc>
          <w:tcPr>
            <w:tcBorders>
              <w:top w:color="000000" w:space="0" w:sz="0" w:val="nil"/>
              <w:left w:color="000000" w:space="0" w:sz="0" w:val="nil"/>
              <w:right w:color="000000" w:space="0" w:sz="0" w:val="nil"/>
            </w:tcBorders>
          </w:tcPr>
          <w:p w:rsidR="00000000" w:rsidDel="00000000" w:rsidP="00000000" w:rsidRDefault="00000000" w:rsidRPr="00000000" w14:paraId="00000169">
            <w:pPr>
              <w:spacing w:after="0" w:lineRule="auto"/>
              <w:ind w:left="720" w:firstLine="0"/>
              <w:rPr/>
            </w:pPr>
            <w:r w:rsidDel="00000000" w:rsidR="00000000" w:rsidRPr="00000000">
              <w:rPr>
                <w:rtl w:val="0"/>
              </w:rPr>
              <w:t xml:space="preserve">"</w:t>
            </w:r>
            <w:r w:rsidDel="00000000" w:rsidR="00000000" w:rsidRPr="00000000">
              <w:rPr>
                <w:b w:val="1"/>
                <w:rtl w:val="0"/>
              </w:rPr>
              <w:t xml:space="preserve">LGPS Regulations</w:t>
            </w:r>
            <w:r w:rsidDel="00000000" w:rsidR="00000000" w:rsidRPr="00000000">
              <w:rPr>
                <w:rtl w:val="0"/>
              </w:rPr>
              <w:t xml:space="preserve">"</w:t>
            </w:r>
          </w:p>
        </w:tc>
        <w:tc>
          <w:tcPr>
            <w:tcBorders>
              <w:top w:color="000000" w:space="0" w:sz="0" w:val="nil"/>
              <w:left w:color="000000" w:space="0" w:sz="0" w:val="nil"/>
              <w:right w:color="000000" w:space="0" w:sz="0" w:val="nil"/>
            </w:tcBorders>
          </w:tcPr>
          <w:p w:rsidR="00000000" w:rsidDel="00000000" w:rsidP="00000000" w:rsidRDefault="00000000" w:rsidRPr="00000000" w14:paraId="0000016A">
            <w:pPr>
              <w:spacing w:after="0" w:lineRule="auto"/>
              <w:rPr/>
            </w:pPr>
            <w:r w:rsidDel="00000000" w:rsidR="00000000" w:rsidRPr="00000000">
              <w:rPr>
                <w:rtl w:val="0"/>
              </w:rPr>
              <w:t xml:space="preserve">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r>
        <w:trPr>
          <w:cantSplit w:val="0"/>
          <w:trHeight w:val="828" w:hRule="atLeast"/>
          <w:tblHeader w:val="0"/>
        </w:trPr>
        <w:tc>
          <w:tcPr>
            <w:tcBorders>
              <w:top w:color="000000" w:space="0" w:sz="0" w:val="nil"/>
              <w:left w:color="000000" w:space="0" w:sz="0" w:val="nil"/>
              <w:right w:color="000000" w:space="0" w:sz="0" w:val="nil"/>
            </w:tcBorders>
            <w:shd w:fill="auto" w:val="clear"/>
          </w:tcPr>
          <w:p w:rsidR="00000000" w:rsidDel="00000000" w:rsidP="00000000" w:rsidRDefault="00000000" w:rsidRPr="00000000" w14:paraId="0000016B">
            <w:pPr>
              <w:spacing w:after="0" w:lineRule="auto"/>
              <w:ind w:left="720" w:firstLine="0"/>
              <w:rPr>
                <w:b w:val="1"/>
              </w:rPr>
            </w:pPr>
            <w:r w:rsidDel="00000000" w:rsidR="00000000" w:rsidRPr="00000000">
              <w:rPr>
                <w:rtl w:val="0"/>
              </w:rPr>
              <w:t xml:space="preserve">“</w:t>
            </w:r>
            <w:r w:rsidDel="00000000" w:rsidR="00000000" w:rsidRPr="00000000">
              <w:rPr>
                <w:b w:val="1"/>
                <w:rtl w:val="0"/>
              </w:rPr>
              <w:t xml:space="preserve">Pension Base Cost”</w:t>
            </w:r>
          </w:p>
        </w:tc>
        <w:tc>
          <w:tcPr>
            <w:tcBorders>
              <w:top w:color="000000" w:space="0" w:sz="0" w:val="nil"/>
              <w:left w:color="000000" w:space="0" w:sz="0" w:val="nil"/>
              <w:right w:color="000000" w:space="0" w:sz="0" w:val="nil"/>
            </w:tcBorders>
            <w:shd w:fill="auto" w:val="clear"/>
          </w:tcPr>
          <w:p w:rsidR="00000000" w:rsidDel="00000000" w:rsidP="00000000" w:rsidRDefault="00000000" w:rsidRPr="00000000" w14:paraId="0000016C">
            <w:pPr>
              <w:spacing w:after="0" w:lineRule="auto"/>
              <w:rPr/>
            </w:pPr>
            <w:r w:rsidDel="00000000" w:rsidR="00000000" w:rsidRPr="00000000">
              <w:rPr>
                <w:rtl w:val="0"/>
              </w:rPr>
              <w:t xml:space="preserve">in relation to the LGPS Eligible Employees, who are at the relevant time members of the LGPS representing the primary rate of the employer’s contribution (within the meaning given to the phrase “primary rate” by regulation 62(4) of the Local Government Pension Scheme Regulations 2013 (SI 2013/2356)) determined by the Fund applicable to the LGPS Eligible Employees;</w:t>
            </w:r>
            <w:r w:rsidDel="00000000" w:rsidR="00000000" w:rsidRPr="00000000">
              <w:rPr>
                <w:rtl w:val="0"/>
              </w:rPr>
              <w:t xml:space="preserve">;</w:t>
            </w:r>
          </w:p>
          <w:p w:rsidR="00000000" w:rsidDel="00000000" w:rsidP="00000000" w:rsidRDefault="00000000" w:rsidRPr="00000000" w14:paraId="0000016D">
            <w:pPr>
              <w:spacing w:after="0" w:lineRule="auto"/>
              <w:rPr/>
            </w:pPr>
            <w:r w:rsidDel="00000000" w:rsidR="00000000" w:rsidRPr="00000000">
              <w:rPr>
                <w:rtl w:val="0"/>
              </w:rPr>
            </w:r>
          </w:p>
          <w:p w:rsidR="00000000" w:rsidDel="00000000" w:rsidP="00000000" w:rsidRDefault="00000000" w:rsidRPr="00000000" w14:paraId="0000016E">
            <w:pPr>
              <w:spacing w:after="0" w:lineRule="auto"/>
              <w:rPr/>
            </w:pPr>
            <w:r w:rsidDel="00000000" w:rsidR="00000000" w:rsidRPr="00000000">
              <w:rPr>
                <w:rtl w:val="0"/>
              </w:rPr>
              <w:t xml:space="preserve">("pensionable pay" for these purposes as defined under the LGPS Regulations);</w:t>
            </w:r>
          </w:p>
          <w:p w:rsidR="00000000" w:rsidDel="00000000" w:rsidP="00000000" w:rsidRDefault="00000000" w:rsidRPr="00000000" w14:paraId="0000016F">
            <w:pPr>
              <w:spacing w:after="0" w:lineRule="auto"/>
              <w:rPr/>
            </w:pPr>
            <w:r w:rsidDel="00000000" w:rsidR="00000000" w:rsidRPr="00000000">
              <w:rPr>
                <w:rtl w:val="0"/>
              </w:rPr>
            </w:r>
          </w:p>
        </w:tc>
      </w:tr>
      <w:tr>
        <w:trPr>
          <w:cantSplit w:val="0"/>
          <w:trHeight w:val="1665" w:hRule="atLeast"/>
          <w:tblHeader w:val="0"/>
        </w:trPr>
        <w:tc>
          <w:tcPr>
            <w:tcBorders>
              <w:top w:color="000000" w:space="0" w:sz="0" w:val="nil"/>
              <w:left w:color="000000" w:space="0" w:sz="0" w:val="nil"/>
              <w:right w:color="000000" w:space="0" w:sz="0" w:val="nil"/>
            </w:tcBorders>
            <w:shd w:fill="auto" w:val="clear"/>
          </w:tcPr>
          <w:p w:rsidR="00000000" w:rsidDel="00000000" w:rsidP="00000000" w:rsidRDefault="00000000" w:rsidRPr="00000000" w14:paraId="00000170">
            <w:pPr>
              <w:spacing w:after="0" w:lineRule="auto"/>
              <w:ind w:left="720" w:firstLine="0"/>
              <w:rPr/>
            </w:pPr>
            <w:r w:rsidDel="00000000" w:rsidR="00000000" w:rsidRPr="00000000">
              <w:rPr>
                <w:rtl w:val="0"/>
              </w:rPr>
              <w:t xml:space="preserve">“</w:t>
            </w:r>
            <w:r w:rsidDel="00000000" w:rsidR="00000000" w:rsidRPr="00000000">
              <w:rPr>
                <w:b w:val="1"/>
                <w:rtl w:val="0"/>
              </w:rPr>
              <w:t xml:space="preserve">Pension Costs</w:t>
            </w:r>
            <w:r w:rsidDel="00000000" w:rsidR="00000000" w:rsidRPr="00000000">
              <w:rPr>
                <w:rtl w:val="0"/>
              </w:rPr>
              <w:t xml:space="preserve">”</w:t>
            </w:r>
          </w:p>
        </w:tc>
        <w:tc>
          <w:tcPr>
            <w:tcBorders>
              <w:top w:color="000000" w:space="0" w:sz="0" w:val="nil"/>
              <w:left w:color="000000" w:space="0" w:sz="0" w:val="nil"/>
              <w:right w:color="000000" w:space="0" w:sz="0" w:val="nil"/>
            </w:tcBorders>
            <w:shd w:fill="auto" w:val="clear"/>
          </w:tcPr>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costs of complying with the Pension Requirements, but excluding any costs relating to:</w:t>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w:t>
              <w:tab/>
              <w:t xml:space="preserve">the provision of any bond or indemnity that the Supplier or its Subcontractors are required to provide under the terms of any Admission Agreement; and</w:t>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w:t>
              <w:tab/>
              <w:t xml:space="preserve">the provision of advice from the actuary to the LGPS arising from the instruction from the Supplier or its Subcontractors in relation to the Pension Requirements;</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which will be covered by the Supplier or Subcontractor, as appropriate; and</w:t>
            </w:r>
          </w:p>
          <w:p w:rsidR="00000000" w:rsidDel="00000000" w:rsidP="00000000" w:rsidRDefault="00000000" w:rsidRPr="00000000" w14:paraId="00000175">
            <w:pPr>
              <w:spacing w:after="0" w:lineRule="auto"/>
              <w:rPr>
                <w:sz w:val="24"/>
                <w:szCs w:val="24"/>
              </w:rPr>
            </w:pPr>
            <w:r w:rsidDel="00000000" w:rsidR="00000000" w:rsidRPr="00000000">
              <w:rPr>
                <w:rtl w:val="0"/>
              </w:rPr>
            </w:r>
          </w:p>
        </w:tc>
      </w:tr>
      <w:tr>
        <w:trPr>
          <w:cantSplit w:val="0"/>
          <w:trHeight w:val="2547" w:hRule="atLeast"/>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176">
            <w:pPr>
              <w:spacing w:after="0" w:lineRule="auto"/>
              <w:ind w:left="720" w:firstLine="0"/>
              <w:rPr/>
            </w:pPr>
            <w:r w:rsidDel="00000000" w:rsidR="00000000" w:rsidRPr="00000000">
              <w:rPr>
                <w:rtl w:val="0"/>
              </w:rPr>
              <w:t xml:space="preserve">“</w:t>
            </w:r>
            <w:r w:rsidDel="00000000" w:rsidR="00000000" w:rsidRPr="00000000">
              <w:rPr>
                <w:b w:val="1"/>
                <w:rtl w:val="0"/>
              </w:rPr>
              <w:t xml:space="preserve">Pension Requirements</w:t>
            </w: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terms and conditions set out in:</w:t>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w:t>
              <w:tab/>
              <w:t xml:space="preserve">paragraph 2 of this Annex D3  (Supplier to Become an  LGPS Admission  Body), and paragraph 4 of Annex D3 (Discretionary Benefits); and</w:t>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w:t>
              <w:tab/>
              <w:t xml:space="preserve">the  LGPS Admission Agreement,</w:t>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but in each case in respect of LGPS Eligible Employees only.</w:t>
            </w:r>
          </w:p>
          <w:p w:rsidR="00000000" w:rsidDel="00000000" w:rsidP="00000000" w:rsidRDefault="00000000" w:rsidRPr="00000000" w14:paraId="0000017B">
            <w:pPr>
              <w:spacing w:after="0" w:lineRule="auto"/>
              <w:rPr>
                <w:sz w:val="24"/>
                <w:szCs w:val="24"/>
              </w:rPr>
            </w:pPr>
            <w:r w:rsidDel="00000000" w:rsidR="00000000" w:rsidRPr="00000000">
              <w:rPr>
                <w:rtl w:val="0"/>
              </w:rPr>
            </w:r>
          </w:p>
        </w:tc>
      </w:tr>
    </w:tbl>
    <w:p w:rsidR="00000000" w:rsidDel="00000000" w:rsidP="00000000" w:rsidRDefault="00000000" w:rsidRPr="00000000" w14:paraId="0000017C">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SUPPLIER TO BECOME AN LGPS ADMISSION BODY</w:t>
      </w:r>
    </w:p>
    <w:p w:rsidR="00000000" w:rsidDel="00000000" w:rsidP="00000000" w:rsidRDefault="00000000" w:rsidRPr="00000000" w14:paraId="0000017D">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hv69ve" w:id="74"/>
      <w:bookmarkEnd w:id="7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rsidR="00000000" w:rsidDel="00000000" w:rsidP="00000000" w:rsidRDefault="00000000" w:rsidRPr="00000000" w14:paraId="0000017E">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rsidR="00000000" w:rsidDel="00000000" w:rsidP="00000000" w:rsidRDefault="00000000" w:rsidRPr="00000000" w14:paraId="0000017F">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provide any indemnity, bond or guarantee required by an Administering Authority in relation to an LGPS Admission Agreement. </w:t>
      </w:r>
    </w:p>
    <w:p w:rsidR="00000000" w:rsidDel="00000000" w:rsidP="00000000" w:rsidRDefault="00000000" w:rsidRPr="00000000" w14:paraId="00000180">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not automatically enroll or re-enroll for the purposes of the Pensions Act 2008 any LGPS Eligible Employees in any pension scheme other than the LGPS.</w:t>
      </w:r>
    </w:p>
    <w:p w:rsidR="00000000" w:rsidDel="00000000" w:rsidP="00000000" w:rsidRDefault="00000000" w:rsidRPr="00000000" w14:paraId="00000181">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RIGHT OF SET-OFF</w:t>
      </w:r>
    </w:p>
    <w:p w:rsidR="00000000" w:rsidDel="00000000" w:rsidP="00000000" w:rsidRDefault="00000000" w:rsidRPr="00000000" w14:paraId="00000182">
      <w:pPr>
        <w:ind w:left="357" w:firstLine="0"/>
        <w:rPr/>
      </w:pPr>
      <w:bookmarkStart w:colFirst="0" w:colLast="0" w:name="_heading=h.1x0gk37" w:id="75"/>
      <w:bookmarkEnd w:id="75"/>
      <w:r w:rsidDel="00000000" w:rsidR="00000000" w:rsidRPr="00000000">
        <w:rPr>
          <w:rtl w:val="0"/>
        </w:rPr>
        <w:t xml:space="preserve">The Buyer</w:t>
      </w:r>
      <w:r w:rsidDel="00000000" w:rsidR="00000000" w:rsidRPr="00000000">
        <w:rPr>
          <w:i w:val="1"/>
          <w:rtl w:val="0"/>
        </w:rPr>
        <w:t xml:space="preserve"> </w:t>
      </w:r>
      <w:r w:rsidDel="00000000" w:rsidR="00000000" w:rsidRPr="00000000">
        <w:rPr>
          <w:rtl w:val="0"/>
        </w:rPr>
        <w:t xml:space="preserve">shall have a right to set off against any payments due to the Supplier under the Contract an amount equal to any overdue employer and employee contributions and other payments (and interest payable under the LGPS Regulations) due from the Supplier (or from any relevant Subcontractor) under an LGPS Admission Agreement and shall pay such amount to the relevant Fund.</w:t>
      </w:r>
    </w:p>
    <w:p w:rsidR="00000000" w:rsidDel="00000000" w:rsidP="00000000" w:rsidRDefault="00000000" w:rsidRPr="00000000" w14:paraId="00000183">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4h042r0" w:id="76"/>
      <w:bookmarkEnd w:id="76"/>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SUPPLIER CEASES TO BE AN LGPS ADMISSION BODY</w:t>
      </w:r>
    </w:p>
    <w:p w:rsidR="00000000" w:rsidDel="00000000" w:rsidP="00000000" w:rsidRDefault="00000000" w:rsidRPr="00000000" w14:paraId="00000184">
      <w:pPr>
        <w:ind w:left="357" w:firstLine="0"/>
        <w:rPr/>
      </w:pPr>
      <w:bookmarkStart w:colFirst="0" w:colLast="0" w:name="_heading=h.2w5ecyt" w:id="77"/>
      <w:bookmarkEnd w:id="77"/>
      <w:r w:rsidDel="00000000" w:rsidR="00000000" w:rsidRPr="00000000">
        <w:rPr>
          <w:rtl w:val="0"/>
        </w:rPr>
        <w:t xml:space="preserve">If the Supplier employs any LGPS Eligible Employees from a Relevant Transfer Date and the Supplier either cannot or does not participate in the LGPS, the Supplier shall offer such LGPS Eligible Employee membership of a pension scheme Broadly Comparable to the LGPS. </w:t>
      </w:r>
    </w:p>
    <w:p w:rsidR="00000000" w:rsidDel="00000000" w:rsidP="00000000" w:rsidRDefault="00000000" w:rsidRPr="00000000" w14:paraId="00000185">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1baon6m" w:id="78"/>
      <w:bookmarkEnd w:id="78"/>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DISCRETIONARY BENEFITS</w:t>
      </w:r>
    </w:p>
    <w:p w:rsidR="00000000" w:rsidDel="00000000" w:rsidP="00000000" w:rsidRDefault="00000000" w:rsidRPr="00000000" w14:paraId="00000186">
      <w:pPr>
        <w:ind w:left="357" w:firstLine="0"/>
        <w:rPr/>
      </w:pPr>
      <w:bookmarkStart w:colFirst="0" w:colLast="0" w:name="_heading=h.3vac5uf" w:id="79"/>
      <w:bookmarkEnd w:id="79"/>
      <w:r w:rsidDel="00000000" w:rsidR="00000000" w:rsidRPr="00000000">
        <w:rPr>
          <w:rtl w:val="0"/>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Where such benefits are of a discretionary nature, they shall be awarded on the basis of the previous employer’s written policy in relation to such benefits at the time of the Relevant Transfer Date. </w:t>
      </w:r>
    </w:p>
    <w:p w:rsidR="00000000" w:rsidDel="00000000" w:rsidP="00000000" w:rsidRDefault="00000000" w:rsidRPr="00000000" w14:paraId="00000187">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 FUNDING</w:t>
      </w:r>
      <w:r w:rsidDel="00000000" w:rsidR="00000000" w:rsidRPr="00000000">
        <w:rPr>
          <w:rtl w:val="0"/>
        </w:rPr>
      </w:r>
    </w:p>
    <w:p w:rsidR="00000000" w:rsidDel="00000000" w:rsidP="00000000" w:rsidRDefault="00000000" w:rsidRPr="00000000" w14:paraId="00000188">
      <w:pPr>
        <w:ind w:hanging="57"/>
        <w:rPr>
          <w:b w:val="1"/>
          <w:smallCaps w:val="1"/>
        </w:rPr>
      </w:pPr>
      <w:r w:rsidDel="00000000" w:rsidR="00000000" w:rsidRPr="00000000">
        <w:rPr>
          <w:rtl w:val="0"/>
        </w:rPr>
      </w:r>
    </w:p>
    <w:p w:rsidR="00000000" w:rsidDel="00000000" w:rsidP="00000000" w:rsidRDefault="00000000" w:rsidRPr="00000000" w14:paraId="00000189">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hereby undertakes that it shall procure that the funding of the accrued rights of LGPS Eligible Employees in the LGPS in respect of pensionable service up to the first Relevant Transfer Date under the Contract shall be calculated on the basis that the LGPS had assets equal to its liabilities, as at that Relevant Transfer Date, based on the LGPS’ ongoing actuarial valuation basis.</w:t>
      </w:r>
    </w:p>
    <w:p w:rsidR="00000000" w:rsidDel="00000000" w:rsidP="00000000" w:rsidRDefault="00000000" w:rsidRPr="00000000" w14:paraId="0000018A">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pkwqa1" w:id="80"/>
      <w:bookmarkEnd w:id="8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6.3 of this Annex D3, any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Excess Amount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shall be the sole responsibility of the Buyer and shall be dealt with as set out in paragraphs 6.4 to 6.7 of this Annex D3.</w:t>
      </w:r>
    </w:p>
    <w:p w:rsidR="00000000" w:rsidDel="00000000" w:rsidP="00000000" w:rsidRDefault="00000000" w:rsidRPr="00000000" w14:paraId="0000018B">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9kk8xu" w:id="81"/>
      <w:bookmarkEnd w:id="8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Nothing in paragraph 6.2 of this Annex D3 shall require the Buyer to be responsible for any Excess Amount to the extent that such Excess Amount has arisen as a result of:</w:t>
      </w:r>
    </w:p>
    <w:p w:rsidR="00000000" w:rsidDel="00000000" w:rsidP="00000000" w:rsidRDefault="00000000" w:rsidRPr="00000000" w14:paraId="0000018C">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decision or exercise of discretion by the Supplier or any Subcontractor which:</w:t>
      </w:r>
    </w:p>
    <w:p w:rsidR="00000000" w:rsidDel="00000000" w:rsidP="00000000" w:rsidRDefault="00000000" w:rsidRPr="00000000" w14:paraId="0000018D">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increases the pensionable pay of LGPS Eligible Employees above the greater of:</w:t>
      </w:r>
    </w:p>
    <w:p w:rsidR="00000000" w:rsidDel="00000000" w:rsidP="00000000" w:rsidRDefault="00000000" w:rsidRPr="00000000" w14:paraId="0000018E">
      <w:pPr>
        <w:keepNext w:val="0"/>
        <w:keepLines w:val="0"/>
        <w:pageBreakBefore w:val="0"/>
        <w:widowControl w:val="1"/>
        <w:numPr>
          <w:ilvl w:val="4"/>
          <w:numId w:val="9"/>
        </w:numPr>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increases assumed in the relevant actuarial valuations of the LGPS; and</w:t>
      </w:r>
    </w:p>
    <w:p w:rsidR="00000000" w:rsidDel="00000000" w:rsidP="00000000" w:rsidRDefault="00000000" w:rsidRPr="00000000" w14:paraId="0000018F">
      <w:pPr>
        <w:keepNext w:val="0"/>
        <w:keepLines w:val="0"/>
        <w:pageBreakBefore w:val="0"/>
        <w:widowControl w:val="1"/>
        <w:numPr>
          <w:ilvl w:val="4"/>
          <w:numId w:val="9"/>
        </w:numPr>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increases the Supplier and/or any Subcontractor are contractually bound to provide on the Relevant Transfer Date;</w:t>
      </w:r>
    </w:p>
    <w:p w:rsidR="00000000" w:rsidDel="00000000" w:rsidP="00000000" w:rsidRDefault="00000000" w:rsidRPr="00000000" w14:paraId="00000190">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otherwise increases the benefits payable to a LGPS Eligible Employee and in particular:</w:t>
      </w:r>
    </w:p>
    <w:p w:rsidR="00000000" w:rsidDel="00000000" w:rsidP="00000000" w:rsidRDefault="00000000" w:rsidRPr="00000000" w14:paraId="00000191">
      <w:pPr>
        <w:keepNext w:val="0"/>
        <w:keepLines w:val="0"/>
        <w:pageBreakBefore w:val="0"/>
        <w:widowControl w:val="1"/>
        <w:numPr>
          <w:ilvl w:val="4"/>
          <w:numId w:val="9"/>
        </w:numPr>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immediate payment of benefits with:</w:t>
      </w:r>
    </w:p>
    <w:p w:rsidR="00000000" w:rsidDel="00000000" w:rsidP="00000000" w:rsidRDefault="00000000" w:rsidRPr="00000000" w14:paraId="00000192">
      <w:pPr>
        <w:keepNext w:val="0"/>
        <w:keepLines w:val="0"/>
        <w:pageBreakBefore w:val="0"/>
        <w:widowControl w:val="1"/>
        <w:numPr>
          <w:ilvl w:val="5"/>
          <w:numId w:val="9"/>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Supplier's or Subcontractors' consent under Regulation 30 of the LGPS Regulations, including waiving any reduction of benefits under Regulation 30(8) of the LGPS Regulations or otherwise; or</w:t>
      </w:r>
    </w:p>
    <w:p w:rsidR="00000000" w:rsidDel="00000000" w:rsidP="00000000" w:rsidRDefault="00000000" w:rsidRPr="00000000" w14:paraId="00000193">
      <w:pPr>
        <w:keepNext w:val="0"/>
        <w:keepLines w:val="0"/>
        <w:pageBreakBefore w:val="0"/>
        <w:widowControl w:val="1"/>
        <w:numPr>
          <w:ilvl w:val="5"/>
          <w:numId w:val="9"/>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or Subcontractors waiving any reduction of benefits on compassionate grounds under Schedule 2 of  The Local Government Pension Scheme (Transitional Provisions, Savings and Amendment) Regulations 2014); and/or</w:t>
      </w:r>
    </w:p>
    <w:p w:rsidR="00000000" w:rsidDel="00000000" w:rsidP="00000000" w:rsidRDefault="00000000" w:rsidRPr="00000000" w14:paraId="00000194">
      <w:pPr>
        <w:keepNext w:val="0"/>
        <w:keepLines w:val="0"/>
        <w:pageBreakBefore w:val="0"/>
        <w:widowControl w:val="1"/>
        <w:numPr>
          <w:ilvl w:val="4"/>
          <w:numId w:val="9"/>
        </w:numPr>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 award to additional pension under Regulation 31 of the LGPS Regulations;</w:t>
      </w:r>
    </w:p>
    <w:p w:rsidR="00000000" w:rsidDel="00000000" w:rsidP="00000000" w:rsidRDefault="00000000" w:rsidRPr="00000000" w14:paraId="00000195">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early retirement of LGPS Eligible Employees due to dismissal or termination of employment under Regulation 30(7) of the LGPS Regulations;</w:t>
      </w:r>
    </w:p>
    <w:p w:rsidR="00000000" w:rsidDel="00000000" w:rsidP="00000000" w:rsidRDefault="00000000" w:rsidRPr="00000000" w14:paraId="00000196">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early retirement of LGPS Eligible Employees under the provisions of regulations 35 to 39 of the LGPS Regulations;</w:t>
      </w:r>
    </w:p>
    <w:p w:rsidR="00000000" w:rsidDel="00000000" w:rsidP="00000000" w:rsidRDefault="00000000" w:rsidRPr="00000000" w14:paraId="00000197">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contribution required by the Administering Authority towards the cost of the administration of the Fund relating to the Supplier that are not met through the Supplier's or Subcontractors' payments under the applicable rates and adjustment certificate under regulation 62 of the LGPS Regulations, including without limitation an amount specified in a notice given by the Administering Authority under Regulation 70 of the LGPS Regulations and the costs of any reports and advice requested by the Supplier from an actuary appointed by the Administering Authority; and/or</w:t>
      </w:r>
    </w:p>
    <w:p w:rsidR="00000000" w:rsidDel="00000000" w:rsidP="00000000" w:rsidRDefault="00000000" w:rsidRPr="00000000" w14:paraId="00000198">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interest payable under the LGPS Regulations or LGPS Administration Agreement.</w:t>
      </w:r>
    </w:p>
    <w:p w:rsidR="00000000" w:rsidDel="00000000" w:rsidP="00000000" w:rsidRDefault="00000000" w:rsidRPr="00000000" w14:paraId="00000199">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opuj5n" w:id="82"/>
      <w:bookmarkEnd w:id="8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Within 20 Working Days of the end of each Contract Year the Supplier shall notify the Buyer in writing of any Excess Amount in the immediately preceding Contract Year together with a reasonable summary of how the Supplier has arrived at its calculation of such amount.</w:t>
      </w:r>
    </w:p>
    <w:p w:rsidR="00000000" w:rsidDel="00000000" w:rsidP="00000000" w:rsidRDefault="00000000" w:rsidRPr="00000000" w14:paraId="0000019A">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 receipt of the Supplier's calculation in accordance with paragraph 6.4 above the Buyer shall either:</w:t>
      </w:r>
    </w:p>
    <w:p w:rsidR="00000000" w:rsidDel="00000000" w:rsidP="00000000" w:rsidRDefault="00000000" w:rsidRPr="00000000" w14:paraId="0000019B">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notify the Supplier in writing of acceptance of the Excess Amount;</w:t>
      </w:r>
    </w:p>
    <w:p w:rsidR="00000000" w:rsidDel="00000000" w:rsidP="00000000" w:rsidRDefault="00000000" w:rsidRPr="00000000" w14:paraId="0000019C">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request further information/evidence; and/or</w:t>
      </w:r>
    </w:p>
    <w:p w:rsidR="00000000" w:rsidDel="00000000" w:rsidP="00000000" w:rsidRDefault="00000000" w:rsidRPr="00000000" w14:paraId="0000019D">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request a meeting to discuss/clarify the evidence provided.</w:t>
      </w:r>
    </w:p>
    <w:p w:rsidR="00000000" w:rsidDel="00000000" w:rsidP="00000000" w:rsidRDefault="00000000" w:rsidRPr="00000000" w14:paraId="0000019E">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pension adjustment notified paragraph 6.4 above is agreed following the receipt of further information/evidence or following a meeting, the Buyer shall notify the Supplier in writing.  In the event that the Supplier and the Buyer are unable to agree the pension adjustment, they shall follow the Dispute Resolution Procedure. </w:t>
      </w:r>
    </w:p>
    <w:p w:rsidR="00000000" w:rsidDel="00000000" w:rsidP="00000000" w:rsidRDefault="00000000" w:rsidRPr="00000000" w14:paraId="0000019F">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8pi1tg" w:id="83"/>
      <w:bookmarkEnd w:id="8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Excess Amount agreed by the Buyer shall be paid within timescales as agreed between Buyer and Supplier. In respect of any Excess Amount the amount to be paid by the Buyer shall be an amount equal to the Excess Amount (less an amount equal to any corporation tax relief which has been claimed in respect of the Excess Amount by the Supplier or its Subcontractors).</w:t>
      </w:r>
    </w:p>
    <w:p w:rsidR="00000000" w:rsidDel="00000000" w:rsidP="00000000" w:rsidRDefault="00000000" w:rsidRPr="00000000" w14:paraId="000001A0">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EXIT COSTS AT CALL-OFF STAGE</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tl w:val="0"/>
        </w:rPr>
        <w:t xml:space="preserve">If on the termination of this Call-Off Contract, or earlier termination of the LGPS Admission Agreement, an “exit payment” (within the meaning given to that phrase by regulation 64(8) of the Local Government Pension Scheme Regulations 2013) falls due for payment by the Supplier (or any relevant Subcontractor), the exit payment shall be the sole responsibility of the Buyer. Subject to receipt of evidence that a relevant exit payment is payable to the Fund, the Buyer shall pay an amount to the Supplier equal to the exit payment (less an amount equal to any corporation tax relief which may be claimed in respect of the exit payment by the Supplier or its Subcontractors) provided that the Buyer shall not be responsible for, and shall not pay an amount in respect of, any part of the exit payment which is attributable to a liability for which the Supplier or any Subcontractor retains liability in paragraph 6.3 of this Annex D3. If on the termination of this Call-Off Contract, or earlier termination of the LGPS Admission Agreement, an “exit credit” (within the meaning given to that phrase by regulation 64(8) of the Local Government Pension Scheme Regulations 2013) falls due for payment by the Administering Authority to the Supplier (or any relevant Subcontractor), an amount equal to the exit credit shall be paid by the Supplier to the Buyer.</w:t>
      </w:r>
      <w:r w:rsidDel="00000000" w:rsidR="00000000" w:rsidRPr="00000000">
        <w:rPr>
          <w:rtl w:val="0"/>
        </w:rPr>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482" w:right="0" w:hanging="313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482" w:right="0" w:hanging="313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961"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4">
      <w:pPr>
        <w:rPr/>
      </w:pPr>
      <w:r w:rsidDel="00000000" w:rsidR="00000000" w:rsidRPr="00000000">
        <w:rPr>
          <w:rtl w:val="0"/>
        </w:rPr>
      </w:r>
    </w:p>
    <w:p w:rsidR="00000000" w:rsidDel="00000000" w:rsidP="00000000" w:rsidRDefault="00000000" w:rsidRPr="00000000" w14:paraId="000001A5">
      <w:pPr>
        <w:rPr/>
      </w:pPr>
      <w:r w:rsidDel="00000000" w:rsidR="00000000" w:rsidRPr="00000000">
        <w:rPr>
          <w:rtl w:val="0"/>
        </w:rPr>
      </w:r>
    </w:p>
    <w:p w:rsidR="00000000" w:rsidDel="00000000" w:rsidP="00000000" w:rsidRDefault="00000000" w:rsidRPr="00000000" w14:paraId="000001A6">
      <w:pPr>
        <w:ind w:left="357" w:firstLine="0"/>
        <w:rPr>
          <w:sz w:val="20"/>
          <w:szCs w:val="20"/>
        </w:rPr>
      </w:pPr>
      <w:r w:rsidDel="00000000" w:rsidR="00000000" w:rsidRPr="00000000">
        <w:rPr>
          <w:rtl w:val="0"/>
        </w:rPr>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PART E: STAFF TRANSFER ON EXIT (MANDATORY)</w:t>
      </w:r>
    </w:p>
    <w:p w:rsidR="00000000" w:rsidDel="00000000" w:rsidP="00000000" w:rsidRDefault="00000000" w:rsidRPr="00000000" w14:paraId="000001A8">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PRE-SERVICE TRANSFER OBLIGATIONS</w:t>
      </w:r>
    </w:p>
    <w:p w:rsidR="00000000" w:rsidDel="00000000" w:rsidP="00000000" w:rsidRDefault="00000000" w:rsidRPr="00000000" w14:paraId="000001A9">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nusc19" w:id="84"/>
      <w:bookmarkEnd w:id="8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agrees that within 20 Working Days of the earliest of:</w:t>
      </w:r>
    </w:p>
    <w:p w:rsidR="00000000" w:rsidDel="00000000" w:rsidP="00000000" w:rsidRDefault="00000000" w:rsidRPr="00000000" w14:paraId="000001AA">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302m92" w:id="85"/>
      <w:bookmarkEnd w:id="8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1AB">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mzq4wv" w:id="86"/>
      <w:bookmarkEnd w:id="8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1A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250f4o" w:id="87"/>
      <w:bookmarkEnd w:id="8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date which is 12 Months before the end of the Term; and</w:t>
      </w:r>
    </w:p>
    <w:p w:rsidR="00000000" w:rsidDel="00000000" w:rsidP="00000000" w:rsidRDefault="00000000" w:rsidRPr="00000000" w14:paraId="000001AD">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1AF">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haapch" w:id="88"/>
      <w:bookmarkEnd w:id="8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1B0">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1B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1B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unless otherwise instructed by the Buyer (acting reasonably):</w:t>
      </w:r>
    </w:p>
    <w:p w:rsidR="00000000" w:rsidDel="00000000" w:rsidP="00000000" w:rsidRDefault="00000000" w:rsidRPr="00000000" w14:paraId="000001B3">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1B4">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make, promise, propose, permit or implement any material changes to the terms and conditions of (i) employment and/or (ii) pensions, retirement and death benefits (including not to make pensionable any category of earnings which were not previously pensionable or reduce the pension contributions payable) of the Supplier Staff (including any payments connected with the termination of employment); </w:t>
      </w:r>
    </w:p>
    <w:p w:rsidR="00000000" w:rsidDel="00000000" w:rsidP="00000000" w:rsidRDefault="00000000" w:rsidRPr="00000000" w14:paraId="000001B5">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1B6">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1B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increase or reduce the total number of employees so engaged, or deploy any other person to perform the Services (or the relevant part of the Services);</w:t>
      </w:r>
    </w:p>
    <w:p w:rsidR="00000000" w:rsidDel="00000000" w:rsidP="00000000" w:rsidRDefault="00000000" w:rsidRPr="00000000" w14:paraId="000001B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terminate or give notice to terminate the employment or contracts of any persons on the Supplier's Provisional Supplier Personnel List save by due disciplinary process;</w:t>
      </w:r>
    </w:p>
    <w:p w:rsidR="00000000" w:rsidDel="00000000" w:rsidP="00000000" w:rsidRDefault="00000000" w:rsidRPr="00000000" w14:paraId="000001B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dissuade or discourage any employees engaged in the provision of the Services from transferring their employment to the Buyer and/or the Replacement Supplier and/or Replacement Subcontractor;</w:t>
      </w:r>
    </w:p>
    <w:p w:rsidR="00000000" w:rsidDel="00000000" w:rsidP="00000000" w:rsidRDefault="00000000" w:rsidRPr="00000000" w14:paraId="000001BA">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give the Buyer and/or the Replacement Supplier and/or Replacement Subcontractor reasonable access to Supplier Staff and/or their consultation representatives to inform them of the intended transfer and consult any measures envisaged by the Buyer, Replacement Supplier and/or Replacement Subcontractor in respect of persons expected to be Transferring Supplier Employees;</w:t>
      </w:r>
    </w:p>
    <w:p w:rsidR="00000000" w:rsidDel="00000000" w:rsidP="00000000" w:rsidRDefault="00000000" w:rsidRPr="00000000" w14:paraId="000001BB">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rsidR="00000000" w:rsidDel="00000000" w:rsidP="00000000" w:rsidRDefault="00000000" w:rsidRPr="00000000" w14:paraId="000001B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promptly notify the  Buyer or, at the direction of the Buyer, any Replacement Supplier and any Replacement Subcontractor of any notice to terminate employment given by the Supplier or received from any persons listed on the Supplier's Provisional Supplier Personnel List regardless of when such notice takes effect;</w:t>
      </w:r>
    </w:p>
    <w:p w:rsidR="00000000" w:rsidDel="00000000" w:rsidP="00000000" w:rsidRDefault="00000000" w:rsidRPr="00000000" w14:paraId="000001BD">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for a period of 12 Months from the Service Transfer Date re-employ or re-engage or entice any employees, suppliers or Subcontractors whose employment or engagement is transferred to the Buyer and/or the Replacement Supplier (unless otherwise instructed by the Buyer(acting reasonably));</w:t>
      </w:r>
    </w:p>
    <w:p w:rsidR="00000000" w:rsidDel="00000000" w:rsidP="00000000" w:rsidRDefault="00000000" w:rsidRPr="00000000" w14:paraId="000001BE">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 to adversely affect pension rights accrued by all and any Fair Deal Employees in the period ending on the Service Transfer Date; </w:t>
      </w:r>
    </w:p>
    <w:p w:rsidR="00000000" w:rsidDel="00000000" w:rsidP="00000000" w:rsidRDefault="00000000" w:rsidRPr="00000000" w14:paraId="000001BF">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fully fund any Broadly Comparable pension schemes set up by the Supplier;</w:t>
      </w:r>
    </w:p>
    <w:p w:rsidR="00000000" w:rsidDel="00000000" w:rsidP="00000000" w:rsidRDefault="00000000" w:rsidRPr="00000000" w14:paraId="000001C0">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maintain such documents and information as will be reasonably required to manage the pension aspects of any onward transfer of any person engaged or employed by the Supplier or any Subcontractor in the provision of the Services on the expiry or termination of this Contract (including without limitation identification of the Fair Deal Employees);</w:t>
      </w:r>
    </w:p>
    <w:p w:rsidR="00000000" w:rsidDel="00000000" w:rsidP="00000000" w:rsidRDefault="00000000" w:rsidRPr="00000000" w14:paraId="000001C1">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promptly provide to the Buyer such documents and information mentioned in Paragraph 3.1.1 of Part D: Pensions which the Buyer may reasonably request in advance of the expiry or termination of this Contract; and</w:t>
      </w:r>
    </w:p>
    <w:p w:rsidR="00000000" w:rsidDel="00000000" w:rsidP="00000000" w:rsidRDefault="00000000" w:rsidRPr="00000000" w14:paraId="000001C2">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Subcontractor in the provision of the Services on the expiry or termination of this Contract.</w:t>
      </w:r>
    </w:p>
    <w:p w:rsidR="00000000" w:rsidDel="00000000" w:rsidP="00000000" w:rsidRDefault="00000000" w:rsidRPr="00000000" w14:paraId="000001C3">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 or around each anniversary of the Effective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 such information as the Buyer may reasonably require which shall include:</w:t>
      </w:r>
    </w:p>
    <w:p w:rsidR="00000000" w:rsidDel="00000000" w:rsidP="00000000" w:rsidRDefault="00000000" w:rsidRPr="00000000" w14:paraId="000001C4">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numbers of employees engaged in providing the Services;</w:t>
      </w:r>
    </w:p>
    <w:p w:rsidR="00000000" w:rsidDel="00000000" w:rsidP="00000000" w:rsidRDefault="00000000" w:rsidRPr="00000000" w14:paraId="000001C5">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1C6">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extent to which each employee qualifies for membership of any of the Fair Deal Schemes (as defined in Part D: Pensions); and</w:t>
      </w:r>
    </w:p>
    <w:p w:rsidR="00000000" w:rsidDel="00000000" w:rsidP="00000000" w:rsidRDefault="00000000" w:rsidRPr="00000000" w14:paraId="000001C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1C8">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w:t>
      </w:r>
    </w:p>
    <w:p w:rsidR="00000000" w:rsidDel="00000000" w:rsidP="00000000" w:rsidRDefault="00000000" w:rsidRPr="00000000" w14:paraId="000001C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most recent month's copy pay slip data;</w:t>
      </w:r>
    </w:p>
    <w:p w:rsidR="00000000" w:rsidDel="00000000" w:rsidP="00000000" w:rsidRDefault="00000000" w:rsidRPr="00000000" w14:paraId="000001CA">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details of cumulative pay for tax and pension purposes;</w:t>
      </w:r>
    </w:p>
    <w:p w:rsidR="00000000" w:rsidDel="00000000" w:rsidP="00000000" w:rsidRDefault="00000000" w:rsidRPr="00000000" w14:paraId="000001CB">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details of cumulative tax paid;</w:t>
      </w:r>
    </w:p>
    <w:p w:rsidR="00000000" w:rsidDel="00000000" w:rsidP="00000000" w:rsidRDefault="00000000" w:rsidRPr="00000000" w14:paraId="000001C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tax code;</w:t>
      </w:r>
    </w:p>
    <w:p w:rsidR="00000000" w:rsidDel="00000000" w:rsidP="00000000" w:rsidRDefault="00000000" w:rsidRPr="00000000" w14:paraId="000001CD">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details of any voluntary deductions from pay; and</w:t>
      </w:r>
    </w:p>
    <w:p w:rsidR="00000000" w:rsidDel="00000000" w:rsidP="00000000" w:rsidRDefault="00000000" w:rsidRPr="00000000" w14:paraId="000001CE">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bank/building society account details for payroll purposes.</w:t>
      </w:r>
    </w:p>
    <w:p w:rsidR="00000000" w:rsidDel="00000000" w:rsidP="00000000" w:rsidRDefault="00000000" w:rsidRPr="00000000" w14:paraId="000001CF">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EMPLOYMENT REGULATIONS EXIT PROVISIONS</w:t>
      </w:r>
    </w:p>
    <w:p w:rsidR="00000000" w:rsidDel="00000000" w:rsidP="00000000" w:rsidRDefault="00000000" w:rsidRPr="00000000" w14:paraId="000001D0">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and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or such services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1D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rsidR="00000000" w:rsidDel="00000000" w:rsidP="00000000" w:rsidRDefault="00000000" w:rsidRPr="00000000" w14:paraId="000001D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19y80a" w:id="89"/>
      <w:bookmarkEnd w:id="8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w:t>
      </w:r>
    </w:p>
    <w:p w:rsidR="00000000" w:rsidDel="00000000" w:rsidP="00000000" w:rsidRDefault="00000000" w:rsidRPr="00000000" w14:paraId="000001D3">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gf8i83" w:id="90"/>
      <w:bookmarkEnd w:id="9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indemnity in Paragraph 2.3 shall not apply to the extent that the Employee Liabilities arise or are attributable to an act or omission of the Replacement Supplier and/or any Replacement Subcontractor whether occurring or having its origin before, on or after the Service Transfer Date. </w:t>
      </w:r>
    </w:p>
    <w:p w:rsidR="00000000" w:rsidDel="00000000" w:rsidP="00000000" w:rsidRDefault="00000000" w:rsidRPr="00000000" w14:paraId="000001D4">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0ew0vw" w:id="91"/>
      <w:bookmarkEnd w:id="9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Paragraphs 2.6 and 2.7, if any employee of the Supplier or a Subcontractor who is not identified in the Supplier's Final Transferring Supplier Employee List claims, or it is determined in relation to any employees of the Supplier or a Subcontractor, that his/her contract of employment has been transferred from the Supplier to the Replacement Supplier and/or a Replacement Subcontractor pursuant to the Employment Regulations then.</w:t>
      </w:r>
    </w:p>
    <w:p w:rsidR="00000000" w:rsidDel="00000000" w:rsidP="00000000" w:rsidRDefault="00000000" w:rsidRPr="00000000" w14:paraId="000001D5">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bookmarkStart w:colFirst="0" w:colLast="0" w:name="_heading=h.2fk6b3p" w:id="92"/>
      <w:bookmarkEnd w:id="9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or shall procure that the Replacement Supplier and/or Replacement Subcontractor will, within 5 Working Days of becoming aware of that fact, notify the Buyer and the Supplier in writing; and</w:t>
      </w:r>
    </w:p>
    <w:p w:rsidR="00000000" w:rsidDel="00000000" w:rsidP="00000000" w:rsidRDefault="00000000" w:rsidRPr="00000000" w14:paraId="000001D6">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pPr>
      <w:bookmarkStart w:colFirst="0" w:colLast="0" w:name="_heading=h.upglbi" w:id="93"/>
      <w:bookmarkEnd w:id="9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may offer (or may procure that a Subcontractor may offer) employment to such person, or take such other reasonable steps as it considered appropriate to resolve the matter, within 10 Working Days of receipt of notice from the Replacement Supplier and/or Replacement Subcontractor;</w:t>
      </w:r>
    </w:p>
    <w:p w:rsidR="00000000" w:rsidDel="00000000" w:rsidP="00000000" w:rsidRDefault="00000000" w:rsidRPr="00000000" w14:paraId="000001D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such offer of employment is accepted, the Replacement Supplier and/or Replacement Subcontractor shall immediately release the person from its employment;</w:t>
      </w:r>
    </w:p>
    <w:p w:rsidR="00000000" w:rsidDel="00000000" w:rsidP="00000000" w:rsidRDefault="00000000" w:rsidRPr="00000000" w14:paraId="000001D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ep43zb" w:id="94"/>
      <w:bookmarkEnd w:id="9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after the period referred to in Paragraph 2.5.2 no such offer has been made, or such offer has been made but not accepted, the Replacement Supplier and/or Replacement Subcontractor may within 5 Working Days give notice to terminate the employment of such person;</w:t>
      </w:r>
    </w:p>
    <w:p w:rsidR="00000000" w:rsidDel="00000000" w:rsidP="00000000" w:rsidRDefault="00000000" w:rsidRPr="00000000" w14:paraId="000001D9">
      <w:pPr>
        <w:pStyle w:val="Heading3"/>
        <w:keepLines w:val="0"/>
        <w:ind w:left="993" w:firstLine="0"/>
        <w:rPr>
          <w:rFonts w:ascii="Calibri" w:cs="Calibri" w:eastAsia="Calibri" w:hAnsi="Calibri"/>
        </w:rPr>
      </w:pPr>
      <w:r w:rsidDel="00000000" w:rsidR="00000000" w:rsidRPr="00000000">
        <w:rPr>
          <w:rFonts w:ascii="Calibri" w:cs="Calibri" w:eastAsia="Calibri" w:hAnsi="Calibri"/>
          <w:rtl w:val="0"/>
        </w:rPr>
        <w:t xml:space="preserve">and subject to the Replacement Supplier's and/or Replacement Subcontractor's compliance with Paragraphs 2.5.1 to 2.5.4 the Supplier will indemnify the Replacement Supplier and/or Replacement Subcontractor against all Employee Liabilities arising out of the termination of the employment of any of the Supplier's  or a Subcontractor’s employees referred to in Paragraph 2.5. </w:t>
      </w:r>
    </w:p>
    <w:p w:rsidR="00000000" w:rsidDel="00000000" w:rsidP="00000000" w:rsidRDefault="00000000" w:rsidRPr="00000000" w14:paraId="000001DA">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tuee74" w:id="95"/>
      <w:bookmarkEnd w:id="9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indemnity in Paragraph 2.5 shall not apply to:</w:t>
      </w:r>
    </w:p>
    <w:p w:rsidR="00000000" w:rsidDel="00000000" w:rsidP="00000000" w:rsidRDefault="00000000" w:rsidRPr="00000000" w14:paraId="000001DB">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Subcontractor, or</w:t>
      </w:r>
    </w:p>
    <w:p w:rsidR="00000000" w:rsidDel="00000000" w:rsidP="00000000" w:rsidRDefault="00000000" w:rsidRPr="00000000" w14:paraId="000001D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claim that the termination of employment was unfair because the Replacement Supplier and/or Replacement Subcontractor neglected to follow a fair dismissal procedure.</w:t>
      </w:r>
    </w:p>
    <w:p w:rsidR="00000000" w:rsidDel="00000000" w:rsidP="00000000" w:rsidRDefault="00000000" w:rsidRPr="00000000" w14:paraId="000001DD">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4du1wux" w:id="96"/>
      <w:bookmarkEnd w:id="9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indemnity in Paragraph 2.5 shall not apply to any termination of employment occurring later than 3 Months from the Service Transfer Date.</w:t>
      </w:r>
    </w:p>
    <w:p w:rsidR="00000000" w:rsidDel="00000000" w:rsidP="00000000" w:rsidRDefault="00000000" w:rsidRPr="00000000" w14:paraId="000001DE">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at any point the Replacement Supplier and/or Replacement Sub-contract accepts the employment of any such person as is described in Paragraph 2.5, such person shall be treated as a Transferring Supplier Employee and Paragraph 2.5 shall cease to apply to such person.</w:t>
      </w:r>
    </w:p>
    <w:p w:rsidR="00000000" w:rsidDel="00000000" w:rsidP="00000000" w:rsidRDefault="00000000" w:rsidRPr="00000000" w14:paraId="000001DF">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szc72q" w:id="97"/>
      <w:bookmarkEnd w:id="9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1E0">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84mhaj" w:id="98"/>
      <w:bookmarkEnd w:id="9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2.9, the Buyer shall procure that the Replacement Supplier indemnifies the Supplier on its own behalf and on behalf of any Replacement Subcontractor against any Employee Liabilities arising from or as a result of any act or omission, whether occurring before, on or after the Service Transfer Date, of the Replacement Supplier and/or Replacement Subcontractor in respect of any Transferring Supplier Employee or any appropriate employee representative (as defined in the Employment Regulations) of any such Transferring Supplier Employee.</w:t>
      </w:r>
    </w:p>
    <w:p w:rsidR="00000000" w:rsidDel="00000000" w:rsidP="00000000" w:rsidRDefault="00000000" w:rsidRPr="00000000" w14:paraId="000001E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indemnity in Paragraph 2.10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 or to the extent the Employee Liabilities arise out of the termination of employment of any person who is not identified in the Supplier’s Final Supplier Personnel List in accordance with Paragraph 2.5 (and subject to the limitations set out in Paragraphs 2.6 and 2.7 above).</w:t>
      </w:r>
    </w:p>
    <w:p w:rsidR="00000000" w:rsidDel="00000000" w:rsidP="00000000" w:rsidRDefault="00000000" w:rsidRPr="00000000" w14:paraId="000001E2">
      <w:pPr>
        <w:rPr/>
      </w:pPr>
      <w:r w:rsidDel="00000000" w:rsidR="00000000" w:rsidRPr="00000000">
        <w:rPr>
          <w:rtl w:val="0"/>
        </w:rPr>
      </w:r>
    </w:p>
    <w:p w:rsidR="00000000" w:rsidDel="00000000" w:rsidP="00000000" w:rsidRDefault="00000000" w:rsidRPr="00000000" w14:paraId="000001E3">
      <w:pPr>
        <w:spacing w:after="0" w:lineRule="auto"/>
        <w:jc w:val="left"/>
        <w:rPr/>
      </w:pPr>
      <w:r w:rsidDel="00000000" w:rsidR="00000000" w:rsidRPr="00000000">
        <w:rPr>
          <w:rtl w:val="0"/>
        </w:rPr>
        <w:t xml:space="preserve"> </w:t>
      </w:r>
    </w:p>
    <w:sectPr>
      <w:headerReference r:id="rId7" w:type="default"/>
      <w:footerReference r:id="rId8"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Trebuchet MS"/>
  <w:font w:name="Arial"/>
  <w:font w:name="Georgia"/>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8">
    <w:pPr>
      <w:tabs>
        <w:tab w:val="center" w:leader="none" w:pos="4513"/>
        <w:tab w:val="right" w:leader="none" w:pos="9016"/>
      </w:tabs>
      <w:spacing w:after="0" w:lineRule="auto"/>
      <w:jc w:val="left"/>
      <w:rPr/>
    </w:pPr>
    <w:r w:rsidDel="00000000" w:rsidR="00000000" w:rsidRPr="00000000">
      <w:rPr>
        <w:sz w:val="16"/>
        <w:szCs w:val="16"/>
        <w:rtl w:val="0"/>
      </w:rPr>
      <w:t xml:space="preserve">Project Version 1.0</w:t>
    </w:r>
    <w:r w:rsidDel="00000000" w:rsidR="00000000" w:rsidRPr="00000000">
      <w:rPr>
        <w:rFonts w:ascii="Times New Roman" w:cs="Times New Roman" w:eastAsia="Times New Roman" w:hAnsi="Times New Roman"/>
        <w:rtl w:val="0"/>
      </w:rPr>
      <w:tab/>
    </w:r>
    <w:r w:rsidDel="00000000" w:rsidR="00000000" w:rsidRPr="00000000">
      <w:rPr>
        <w:rtl w:val="0"/>
      </w:rPr>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sz w:val="16"/>
        <w:szCs w:val="16"/>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Further Competition under Lot 1B of the RM3830 Facilities Management Marketplac</w:t>
    </w:r>
    <w:r w:rsidDel="00000000" w:rsidR="00000000" w:rsidRPr="00000000">
      <w:rPr>
        <w:sz w:val="16"/>
        <w:szCs w:val="16"/>
        <w:rtl w:val="0"/>
      </w:rPr>
      <w:t xml:space="preserve">e</w:t>
    </w:r>
  </w:p>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Ref: RM3830 (Model V3.0)</w:t>
      <w:tab/>
      <w:tab/>
      <w:t xml:space="preserve">Crown Copyright 2022</w:t>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b w:val="1"/>
      </w:rPr>
    </w:pPr>
    <w:r w:rsidDel="00000000" w:rsidR="00000000" w:rsidRPr="00000000">
      <w:rPr>
        <w:b w:val="1"/>
        <w:rtl w:val="0"/>
      </w:rPr>
      <w:t xml:space="preserve">Customer Support &amp; Community (Provision of Soft FM Services) North</w:t>
    </w:r>
    <w:r w:rsidDel="00000000" w:rsidR="00000000" w:rsidRPr="00000000">
      <w:drawing>
        <wp:anchor allowOverlap="1" behindDoc="0" distB="0" distT="0" distL="114300" distR="114300" hidden="0" layoutInCell="1" locked="0" relativeHeight="0" simplePos="0">
          <wp:simplePos x="0" y="0"/>
          <wp:positionH relativeFrom="column">
            <wp:posOffset>4486275</wp:posOffset>
          </wp:positionH>
          <wp:positionV relativeFrom="paragraph">
            <wp:posOffset>-248919</wp:posOffset>
          </wp:positionV>
          <wp:extent cx="825500" cy="692150"/>
          <wp:effectExtent b="0" l="0" r="0" t="0"/>
          <wp:wrapSquare wrapText="bothSides" distB="0" distT="0" distL="114300" distR="114300"/>
          <wp:docPr descr="https://lh6.googleusercontent.com/eTjmBXx3xlUd8dXr189uAhL5wKMvtoARRd5PBHE4MvZbqArG__xeKNCp-_ICa_Qu_qG3FdHGHDf7h_MKkGbmHxXuZ50B3Fu_gZnxRpdnepmisW01VDhM2LPBlhdewL0po5oNN_w4" id="4" name="image1.png"/>
          <a:graphic>
            <a:graphicData uri="http://schemas.openxmlformats.org/drawingml/2006/picture">
              <pic:pic>
                <pic:nvPicPr>
                  <pic:cNvPr descr="https://lh6.googleusercontent.com/eTjmBXx3xlUd8dXr189uAhL5wKMvtoARRd5PBHE4MvZbqArG__xeKNCp-_ICa_Qu_qG3FdHGHDf7h_MKkGbmHxXuZ50B3Fu_gZnxRpdnepmisW01VDhM2LPBlhdewL0po5oNN_w4" id="0" name="image1.png"/>
                  <pic:cNvPicPr preferRelativeResize="0"/>
                </pic:nvPicPr>
                <pic:blipFill>
                  <a:blip r:embed="rId1"/>
                  <a:srcRect b="0" l="0" r="0" t="0"/>
                  <a:stretch>
                    <a:fillRect/>
                  </a:stretch>
                </pic:blipFill>
                <pic:spPr>
                  <a:xfrm>
                    <a:off x="0" y="0"/>
                    <a:ext cx="825500" cy="692150"/>
                  </a:xfrm>
                  <a:prstGeom prst="rect"/>
                  <a:ln/>
                </pic:spPr>
              </pic:pic>
            </a:graphicData>
          </a:graphic>
        </wp:anchor>
      </w:drawing>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2 (Staff Transfer) </w:t>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2022 </w:t>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4">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6">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lvl w:ilvl="0">
      <w:start w:val="1"/>
      <w:numFmt w:val="decimal"/>
      <w:lvlText w:val=""/>
      <w:lvlJc w:val="center"/>
      <w:pPr>
        <w:ind w:left="0" w:hanging="57"/>
      </w:pPr>
      <w:rPr>
        <w:rFonts w:ascii="Trebuchet MS" w:cs="Trebuchet MS" w:eastAsia="Trebuchet MS" w:hAnsi="Trebuchet MS"/>
      </w:rPr>
    </w:lvl>
    <w:lvl w:ilvl="1">
      <w:start w:val="1"/>
      <w:numFmt w:val="decimal"/>
      <w:lvlText w:val="%1%2"/>
      <w:lvlJc w:val="left"/>
      <w:pPr>
        <w:ind w:left="709" w:hanging="709"/>
      </w:pPr>
      <w:rPr>
        <w:rFonts w:ascii="Trebuchet MS" w:cs="Trebuchet MS" w:eastAsia="Trebuchet MS" w:hAnsi="Trebuchet MS"/>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rFonts w:ascii="Trebuchet MS" w:cs="Trebuchet MS" w:eastAsia="Trebuchet MS" w:hAnsi="Trebuchet MS"/>
      </w:rPr>
    </w:lvl>
    <w:lvl w:ilvl="4">
      <w:start w:val="1"/>
      <w:numFmt w:val="lowerRoman"/>
      <w:lvlText w:val="(%5)"/>
      <w:lvlJc w:val="left"/>
      <w:pPr>
        <w:ind w:left="2125"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8">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9">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3">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decimal"/>
      <w:lvlText w:val="%1."/>
      <w:lvlJc w:val="left"/>
      <w:pPr>
        <w:ind w:left="720" w:hanging="720"/>
      </w:pPr>
      <w:rPr>
        <w:rFonts w:ascii="Calibri" w:cs="Calibri" w:eastAsia="Calibri" w:hAnsi="Calibri"/>
        <w:smallCaps w:val="0"/>
      </w:rPr>
    </w:lvl>
    <w:lvl w:ilvl="1">
      <w:start w:val="1"/>
      <w:numFmt w:val="decimal"/>
      <w:lvlText w:val="%1.%2"/>
      <w:lvlJc w:val="left"/>
      <w:pPr>
        <w:ind w:left="720" w:hanging="720"/>
      </w:pPr>
      <w:rPr>
        <w:rFonts w:ascii="Calibri" w:cs="Calibri" w:eastAsia="Calibri" w:hAnsi="Calibri"/>
        <w:smallCaps w:val="0"/>
      </w:rPr>
    </w:lvl>
    <w:lvl w:ilvl="2">
      <w:start w:val="1"/>
      <w:numFmt w:val="decimal"/>
      <w:lvlText w:val="%1.%2.%3"/>
      <w:lvlJc w:val="left"/>
      <w:pPr>
        <w:ind w:left="1800" w:hanging="1080"/>
      </w:pPr>
      <w:rPr>
        <w:rFonts w:ascii="Calibri" w:cs="Calibri" w:eastAsia="Calibri" w:hAnsi="Calibri"/>
        <w:smallCaps w:val="0"/>
      </w:rPr>
    </w:lvl>
    <w:lvl w:ilvl="3">
      <w:start w:val="1"/>
      <w:numFmt w:val="lowerLetter"/>
      <w:lvlText w:val="(%4)"/>
      <w:lvlJc w:val="left"/>
      <w:pPr>
        <w:ind w:left="2880" w:hanging="1080"/>
      </w:pPr>
      <w:rPr>
        <w:rFonts w:ascii="Calibri" w:cs="Calibri" w:eastAsia="Calibri" w:hAnsi="Calibri"/>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0" w:lineRule="auto"/>
      <w:jc w:val="left"/>
    </w:pPr>
    <w:rPr>
      <w:rFonts w:ascii="Times New Roman" w:cs="Times New Roman" w:eastAsia="Times New Roman" w:hAnsi="Times New Roman"/>
      <w:i w:val="1"/>
      <w:sz w:val="18"/>
      <w:szCs w:val="18"/>
    </w:rPr>
  </w:style>
  <w:style w:type="paragraph" w:styleId="Heading2">
    <w:name w:val="heading 2"/>
    <w:basedOn w:val="Normal"/>
    <w:next w:val="Normal"/>
    <w:pPr>
      <w:keepNext w:val="1"/>
      <w:keepLines w:val="1"/>
      <w:ind w:left="709" w:hanging="709"/>
    </w:pPr>
    <w:rPr>
      <w:rFonts w:ascii="Trebuchet MS" w:cs="Trebuchet MS" w:eastAsia="Trebuchet MS" w:hAnsi="Trebuchet MS"/>
      <w:b w:val="1"/>
    </w:rPr>
  </w:style>
  <w:style w:type="paragraph" w:styleId="Heading3">
    <w:name w:val="heading 3"/>
    <w:basedOn w:val="Normal"/>
    <w:next w:val="Normal"/>
    <w:pPr>
      <w:keepLines w:val="1"/>
      <w:ind w:left="709" w:hanging="709"/>
    </w:pPr>
    <w:rPr>
      <w:rFonts w:ascii="Trebuchet MS" w:cs="Trebuchet MS" w:eastAsia="Trebuchet MS" w:hAnsi="Trebuchet MS"/>
    </w:rPr>
  </w:style>
  <w:style w:type="paragraph" w:styleId="Heading4">
    <w:name w:val="heading 4"/>
    <w:basedOn w:val="Normal"/>
    <w:next w:val="Normal"/>
    <w:pPr>
      <w:keepLines w:val="1"/>
      <w:ind w:left="709" w:hanging="1503"/>
    </w:pPr>
    <w:rPr>
      <w:rFonts w:ascii="Trebuchet MS" w:cs="Trebuchet MS" w:eastAsia="Trebuchet MS" w:hAnsi="Trebuchet MS"/>
    </w:rPr>
  </w:style>
  <w:style w:type="paragraph" w:styleId="Heading5">
    <w:name w:val="heading 5"/>
    <w:basedOn w:val="Normal"/>
    <w:next w:val="Normal"/>
    <w:pPr>
      <w:keepLines w:val="1"/>
      <w:ind w:left="709" w:hanging="1503"/>
    </w:pPr>
    <w:rPr>
      <w:rFonts w:ascii="Trebuchet MS" w:cs="Trebuchet MS" w:eastAsia="Trebuchet MS" w:hAnsi="Trebuchet MS"/>
    </w:rPr>
  </w:style>
  <w:style w:type="paragraph" w:styleId="Heading6">
    <w:name w:val="heading 6"/>
    <w:basedOn w:val="Normal"/>
    <w:next w:val="Normal"/>
    <w:pPr>
      <w:keepLines w:val="0"/>
      <w:spacing w:line="360" w:lineRule="auto"/>
      <w:ind w:left="709" w:hanging="1503"/>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pPr>
      <w:autoSpaceDE w:val="0"/>
      <w:autoSpaceDN w:val="0"/>
      <w:adjustRightInd w:val="0"/>
      <w:spacing w:after="240"/>
      <w:jc w:val="both"/>
    </w:pPr>
    <w:rPr>
      <w:rFonts w:cs="Arial"/>
      <w:sz w:val="22"/>
      <w:szCs w:val="22"/>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
    <w:basedOn w:val="Normal"/>
    <w:next w:val="Normal"/>
    <w:link w:val="Heading1Char"/>
    <w:uiPriority w:val="99"/>
    <w:qFormat w:val="1"/>
    <w:pPr>
      <w:keepNext w:val="1"/>
      <w:spacing w:after="0"/>
      <w:jc w:val="left"/>
      <w:outlineLvl w:val="0"/>
    </w:pPr>
    <w:rPr>
      <w:rFonts w:ascii="Times New Roman" w:cs="Times New Roman" w:hAnsi="Times New Roman"/>
      <w:i w:val="1"/>
      <w:sz w:val="18"/>
      <w:szCs w:val="24"/>
      <w:lang w:val="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val="1"/>
    <w:pPr>
      <w:keepNext w:val="1"/>
      <w:keepLines w:val="1"/>
      <w:numPr>
        <w:ilvl w:val="1"/>
        <w:numId w:val="14"/>
      </w:numPr>
      <w:outlineLvl w:val="1"/>
    </w:pPr>
    <w:rPr>
      <w:rFonts w:ascii="Trebuchet MS" w:hAnsi="Trebuchet MS"/>
      <w:b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
    <w:basedOn w:val="Normal"/>
    <w:next w:val="Normal"/>
    <w:link w:val="Heading3Char"/>
    <w:uiPriority w:val="9"/>
    <w:qFormat w:val="1"/>
    <w:pPr>
      <w:keepLines w:val="1"/>
      <w:numPr>
        <w:ilvl w:val="2"/>
        <w:numId w:val="14"/>
      </w:numPr>
      <w:outlineLvl w:val="2"/>
    </w:pPr>
    <w:rPr>
      <w:rFonts w:ascii="Trebuchet MS" w:hAnsi="Trebuchet M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
    <w:basedOn w:val="Heading3"/>
    <w:next w:val="Normal"/>
    <w:link w:val="Heading4Char"/>
    <w:uiPriority w:val="9"/>
    <w:qFormat w:val="1"/>
    <w:pPr>
      <w:numPr>
        <w:ilvl w:val="3"/>
      </w:numPr>
      <w:tabs>
        <w:tab w:val="num" w:pos="1587"/>
      </w:tabs>
      <w:ind w:hanging="794"/>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
    <w:basedOn w:val="Heading4"/>
    <w:next w:val="Normal"/>
    <w:link w:val="Heading5Char"/>
    <w:uiPriority w:val="9"/>
    <w:qFormat w:val="1"/>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qFormat w:val="1"/>
    <w:pPr>
      <w:keepLines w:val="0"/>
      <w:numPr>
        <w:ilvl w:val="0"/>
        <w:numId w:val="0"/>
      </w:numPr>
      <w:spacing w:line="360" w:lineRule="auto"/>
      <w:outlineLvl w:val="5"/>
    </w:pPr>
    <w:rPr>
      <w:rFonts w:ascii="Times New Roman" w:hAnsi="Times New Roman"/>
      <w:szCs w:val="20"/>
    </w:rPr>
  </w:style>
  <w:style w:type="paragraph" w:styleId="Heading7">
    <w:name w:val="heading 7"/>
    <w:aliases w:val="3AP,Heading 7(unused),Legal Level 1.1.,L2 PIP,Lev 7,H7DO NOT USE,PA Appendix Major,Blank 3,Heading 7 (Do Not Use),Appendix Major"/>
    <w:basedOn w:val="Normal"/>
    <w:next w:val="Normal"/>
    <w:link w:val="Heading7Char"/>
    <w:uiPriority w:val="9"/>
    <w:qFormat w:val="1"/>
    <w:pPr>
      <w:numPr>
        <w:ilvl w:val="1"/>
        <w:numId w:val="3"/>
      </w:numPr>
      <w:outlineLvl w:val="6"/>
    </w:pPr>
    <w:rPr>
      <w:rFonts w:ascii="Trebuchet MS" w:hAnsi="Trebuchet MS"/>
    </w:rPr>
  </w:style>
  <w:style w:type="paragraph" w:styleId="Heading8">
    <w:name w:val="heading 8"/>
    <w:aliases w:val="4AP,Legal Level 1.1.1.,Lev 8,h8 DO NOT USE,PA Appendix Minor,Blank 4,h8,Heading 8 (Do Not Use),Appendix Minor"/>
    <w:basedOn w:val="Normal"/>
    <w:next w:val="Normal"/>
    <w:link w:val="Heading8Char"/>
    <w:uiPriority w:val="9"/>
    <w:qFormat w:val="1"/>
    <w:pPr>
      <w:numPr>
        <w:ilvl w:val="2"/>
        <w:numId w:val="3"/>
      </w:numPr>
      <w:outlineLvl w:val="7"/>
    </w:pPr>
    <w:rPr>
      <w:rFonts w:ascii="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uiPriority w:val="9"/>
    <w:qFormat w:val="1"/>
    <w:pPr>
      <w:numPr>
        <w:ilvl w:val="3"/>
        <w:numId w:val="3"/>
      </w:numPr>
      <w:outlineLvl w:val="8"/>
    </w:pPr>
    <w:rPr>
      <w:rFonts w:ascii="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Cambria" w:cs="Times New Roman" w:eastAsia="Times New Roman" w:hAnsi="Cambria"/>
      <w:b w:val="1"/>
      <w:bCs w:val="1"/>
      <w:kern w:val="32"/>
      <w:sz w:val="32"/>
      <w:szCs w:val="32"/>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cs="Arial" w:eastAsia="Times New Roman" w:hAnsi="Trebuchet MS"/>
      <w:b w:val="1"/>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cs="Arial" w:eastAsia="Times New Roman" w:hAnsi="Trebuchet M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9"/>
    <w:rPr>
      <w:rFonts w:ascii="Trebuchet MS" w:cs="Arial" w:eastAsia="Times New Roman" w:hAnsi="Trebuchet M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l Char"/>
    <w:link w:val="Heading5"/>
    <w:uiPriority w:val="9"/>
    <w:rPr>
      <w:rFonts w:ascii="Trebuchet MS" w:cs="Arial" w:eastAsia="Times New Roman" w:hAnsi="Trebuchet M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uiPriority w:val="9"/>
    <w:rPr>
      <w:rFonts w:ascii="Times New Roman" w:hAnsi="Times New Roman"/>
      <w:sz w:val="22"/>
      <w:lang w:val="x-none"/>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uiPriority w:val="9"/>
    <w:rPr>
      <w:rFonts w:ascii="Trebuchet MS" w:cs="Arial" w:eastAsia="Times New Roman" w:hAnsi="Trebuchet MS"/>
    </w:rPr>
  </w:style>
  <w:style w:type="character" w:styleId="Heading8Char" w:customStyle="1">
    <w:name w:val="Heading 8 Char"/>
    <w:aliases w:val="4AP Char,Legal Level 1.1.1. Char,Lev 8 Char,h8 DO NOT USE Char,PA Appendix Minor Char,Blank 4 Char,h8 Char,Heading 8 (Do Not Use) Char,Appendix Minor Char"/>
    <w:link w:val="Heading8"/>
    <w:uiPriority w:val="9"/>
    <w:rPr>
      <w:rFonts w:ascii="Trebuchet MS" w:cs="Arial" w:eastAsia="Times New Roman" w:hAnsi="Trebuchet M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uiPriority w:val="9"/>
    <w:rPr>
      <w:rFonts w:ascii="Trebuchet MS" w:cs="Arial" w:eastAsia="Times New Roman" w:hAnsi="Trebuchet MS"/>
    </w:rPr>
  </w:style>
  <w:style w:type="character" w:styleId="Heading1Char1" w:customStyle="1">
    <w:name w:val="Heading 1 Char1"/>
    <w:aliases w:val="h1 Char1,A MAJOR/BOLD Char1,Schedheading Char1,Heading 1(Report Only) Char1,h1 chapter heading Char1,Section Heading Char1,H1 Char1,Attribute Heading 1 Char1,Roman 14 B Heading Char1,Roman 14 B Heading1 Char1,Roman 14 B Heading2 Char1"/>
    <w:rPr>
      <w:rFonts w:ascii="Trebuchet MS" w:hAnsi="Trebuchet MS"/>
      <w:b w:val="1"/>
      <w:caps w:val="1"/>
      <w:sz w:val="22"/>
      <w:lang w:val="x-none"/>
    </w:rPr>
  </w:style>
  <w:style w:type="paragraph" w:styleId="MarginText" w:customStyle="1">
    <w:name w:val="Margin Text"/>
    <w:basedOn w:val="BodyText"/>
    <w:pPr>
      <w:spacing w:after="240"/>
      <w:ind w:left="709"/>
    </w:pPr>
    <w:rPr>
      <w:rFonts w:ascii="Trebuchet MS" w:hAnsi="Trebuchet MS"/>
    </w:rPr>
  </w:style>
  <w:style w:type="character" w:styleId="MarginTextChar" w:customStyle="1">
    <w:name w:val="Margin Text Char"/>
    <w:rPr>
      <w:rFonts w:ascii="Trebuchet MS" w:eastAsia="Times New Roman" w:hAnsi="Trebuchet MS"/>
      <w:sz w:val="22"/>
      <w:lang w:val="x-none"/>
    </w:rPr>
  </w:style>
  <w:style w:type="paragraph" w:styleId="Footer">
    <w:name w:val="footer"/>
    <w:basedOn w:val="Normal"/>
    <w:link w:val="FooterChar"/>
    <w:uiPriority w:val="99"/>
    <w:pPr>
      <w:tabs>
        <w:tab w:val="center" w:pos="4513"/>
        <w:tab w:val="right" w:pos="9026"/>
      </w:tabs>
      <w:spacing w:after="0"/>
    </w:pPr>
  </w:style>
  <w:style w:type="character" w:styleId="FooterChar" w:customStyle="1">
    <w:name w:val="Footer Char"/>
    <w:link w:val="Footer"/>
    <w:uiPriority w:val="99"/>
    <w:rPr>
      <w:rFonts w:eastAsia="Times New Roman"/>
      <w:sz w:val="22"/>
      <w:lang w:val="x-none"/>
    </w:rPr>
  </w:style>
  <w:style w:type="paragraph" w:styleId="BodyTextIndent">
    <w:name w:val="Body Text Indent"/>
    <w:basedOn w:val="Normal"/>
    <w:link w:val="BodyTextIndentChar"/>
    <w:uiPriority w:val="99"/>
    <w:pPr>
      <w:ind w:left="720"/>
    </w:pPr>
    <w:rPr>
      <w:rFonts w:ascii="Trebuchet MS" w:hAnsi="Trebuchet MS"/>
    </w:rPr>
  </w:style>
  <w:style w:type="character" w:styleId="BodyTextIndentChar" w:customStyle="1">
    <w:name w:val="Body Text Indent Char"/>
    <w:link w:val="BodyTextIndent"/>
    <w:uiPriority w:val="99"/>
    <w:rPr>
      <w:rFonts w:ascii="Trebuchet MS" w:eastAsia="Times New Roman" w:hAnsi="Trebuchet MS"/>
      <w:sz w:val="22"/>
      <w:lang w:val="x-none"/>
    </w:rPr>
  </w:style>
  <w:style w:type="paragraph" w:styleId="BodyTextIndent2">
    <w:name w:val="Body Text Indent 2"/>
    <w:basedOn w:val="Normal"/>
    <w:link w:val="BodyTextIndent2Char"/>
    <w:uiPriority w:val="99"/>
    <w:pPr>
      <w:ind w:left="1440"/>
    </w:pPr>
    <w:rPr>
      <w:rFonts w:ascii="Trebuchet MS" w:hAnsi="Trebuchet MS"/>
    </w:rPr>
  </w:style>
  <w:style w:type="character" w:styleId="BodyTextIndent2Char" w:customStyle="1">
    <w:name w:val="Body Text Indent 2 Char"/>
    <w:link w:val="BodyTextIndent2"/>
    <w:uiPriority w:val="99"/>
    <w:rPr>
      <w:rFonts w:ascii="Trebuchet MS" w:eastAsia="Times New Roman" w:hAnsi="Trebuchet MS"/>
      <w:sz w:val="22"/>
      <w:lang w:val="x-none"/>
    </w:rPr>
  </w:style>
  <w:style w:type="character" w:styleId="PageNumber">
    <w:name w:val="page number"/>
    <w:basedOn w:val="DefaultParagraphFont"/>
    <w:uiPriority w:val="99"/>
  </w:style>
  <w:style w:type="paragraph" w:styleId="Header">
    <w:name w:val="header"/>
    <w:basedOn w:val="Normal"/>
    <w:link w:val="HeaderChar"/>
    <w:uiPriority w:val="99"/>
    <w:pPr>
      <w:tabs>
        <w:tab w:val="center" w:pos="4513"/>
        <w:tab w:val="right" w:pos="9026"/>
      </w:tabs>
      <w:spacing w:after="0"/>
    </w:pPr>
  </w:style>
  <w:style w:type="character" w:styleId="HeaderChar" w:customStyle="1">
    <w:name w:val="Header Char"/>
    <w:link w:val="Header"/>
    <w:uiPriority w:val="99"/>
    <w:rPr>
      <w:rFonts w:eastAsia="Times New Roman"/>
      <w:sz w:val="22"/>
      <w:lang w:val="x-none"/>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qFormat w:val="1"/>
    <w:rPr>
      <w:rFonts w:ascii="Arial" w:eastAsia="STZhongsong" w:hAnsi="Arial"/>
      <w:b w:val="1"/>
      <w:i w:val="1"/>
      <w:color w:val="000000"/>
      <w:sz w:val="20"/>
      <w:szCs w:val="24"/>
    </w:rPr>
  </w:style>
  <w:style w:type="character" w:styleId="GuidancenoteparagraphtextChar" w:customStyle="1">
    <w:name w:val="Guidance note paragraph text Char"/>
    <w:rPr>
      <w:rFonts w:ascii="Arial" w:eastAsia="STZhongsong" w:hAnsi="Arial"/>
      <w:b w:val="1"/>
      <w:i w:val="1"/>
      <w:color w:val="000000"/>
      <w:sz w:val="24"/>
      <w:lang w:val="x-none"/>
    </w:rPr>
  </w:style>
  <w:style w:type="paragraph" w:styleId="PartDes" w:customStyle="1">
    <w:name w:val="PartDes"/>
    <w:basedOn w:val="Normal"/>
    <w:qFormat w:val="1"/>
    <w:pPr>
      <w:spacing w:after="120" w:before="120"/>
      <w:jc w:val="center"/>
    </w:pPr>
    <w:rPr>
      <w:rFonts w:ascii="Trebuchet MS" w:cs="Times New Roman" w:hAnsi="Trebuchet MS"/>
      <w:b w:val="1"/>
    </w:rPr>
  </w:style>
  <w:style w:type="paragraph" w:styleId="TableNormal1" w:customStyle="1">
    <w:name w:val="Table Normal1"/>
    <w:basedOn w:val="Normal"/>
    <w:pPr>
      <w:spacing w:after="120" w:before="120"/>
      <w:ind w:left="34"/>
    </w:pPr>
    <w:rPr>
      <w:rFonts w:ascii="Trebuchet MS" w:cs="Times New Roman" w:hAnsi="Trebuchet MS"/>
    </w:rPr>
  </w:style>
  <w:style w:type="paragraph" w:styleId="BodyText">
    <w:name w:val="Body Text"/>
    <w:basedOn w:val="Normal"/>
    <w:link w:val="BodyTextChar"/>
    <w:uiPriority w:val="99"/>
    <w:pPr>
      <w:spacing w:after="120"/>
    </w:pPr>
  </w:style>
  <w:style w:type="character" w:styleId="BodyTextChar" w:customStyle="1">
    <w:name w:val="Body Text Char"/>
    <w:link w:val="BodyText"/>
    <w:uiPriority w:val="99"/>
    <w:rPr>
      <w:sz w:val="22"/>
      <w:lang w:val="x-none"/>
    </w:rPr>
  </w:style>
  <w:style w:type="paragraph" w:styleId="FootnoteText">
    <w:name w:val="footnote text"/>
    <w:basedOn w:val="Normal"/>
    <w:link w:val="FootnoteTextChar"/>
    <w:uiPriority w:val="99"/>
    <w:rPr>
      <w:sz w:val="20"/>
      <w:szCs w:val="20"/>
    </w:rPr>
  </w:style>
  <w:style w:type="character" w:styleId="FootnoteTextChar" w:customStyle="1">
    <w:name w:val="Footnote Text Char"/>
    <w:link w:val="FootnoteText"/>
    <w:uiPriority w:val="99"/>
    <w:rPr>
      <w:lang w:val="x-none"/>
    </w:rPr>
  </w:style>
  <w:style w:type="character" w:styleId="FootnoteReference">
    <w:name w:val="footnote reference"/>
    <w:uiPriority w:val="99"/>
    <w:rPr>
      <w:vertAlign w:val="superscript"/>
    </w:rPr>
  </w:style>
  <w:style w:type="paragraph" w:styleId="BalloonText">
    <w:name w:val="Balloon Text"/>
    <w:basedOn w:val="Normal"/>
    <w:link w:val="BalloonTextChar"/>
    <w:uiPriority w:val="99"/>
    <w:pPr>
      <w:spacing w:after="0"/>
    </w:pPr>
    <w:rPr>
      <w:rFonts w:ascii="Tahoma" w:cs="Tahoma" w:hAnsi="Tahoma"/>
      <w:sz w:val="16"/>
      <w:szCs w:val="16"/>
    </w:rPr>
  </w:style>
  <w:style w:type="character" w:styleId="BalloonTextChar" w:customStyle="1">
    <w:name w:val="Balloon Text Char"/>
    <w:link w:val="BalloonText"/>
    <w:uiPriority w:val="99"/>
    <w:rPr>
      <w:rFonts w:ascii="Tahoma" w:hAnsi="Tahoma"/>
      <w:sz w:val="16"/>
      <w:lang w:val="x-none"/>
    </w:rPr>
  </w:style>
  <w:style w:type="character" w:styleId="CommentReference">
    <w:name w:val="annotation reference"/>
    <w:uiPriority w:val="99"/>
    <w:rPr>
      <w:sz w:val="16"/>
    </w:rPr>
  </w:style>
  <w:style w:type="paragraph" w:styleId="CommentText">
    <w:name w:val="annotation text"/>
    <w:basedOn w:val="Normal"/>
    <w:link w:val="CommentTextChar"/>
    <w:uiPriority w:val="99"/>
    <w:rPr>
      <w:sz w:val="20"/>
      <w:szCs w:val="20"/>
    </w:rPr>
  </w:style>
  <w:style w:type="character" w:styleId="CommentTextChar" w:customStyle="1">
    <w:name w:val="Comment Text Char"/>
    <w:link w:val="CommentText"/>
    <w:uiPriority w:val="99"/>
    <w:rPr>
      <w:rFonts w:eastAsia="Times New Roman"/>
      <w:lang w:val="x-none"/>
    </w:rPr>
  </w:style>
  <w:style w:type="paragraph" w:styleId="CommentSubject">
    <w:name w:val="annotation subject"/>
    <w:basedOn w:val="CommentText"/>
    <w:next w:val="CommentText"/>
    <w:link w:val="CommentSubjectChar"/>
    <w:uiPriority w:val="99"/>
    <w:rPr>
      <w:b w:val="1"/>
    </w:rPr>
  </w:style>
  <w:style w:type="character" w:styleId="CommentSubjectChar" w:customStyle="1">
    <w:name w:val="Comment Subject Char"/>
    <w:link w:val="CommentSubject"/>
    <w:uiPriority w:val="99"/>
    <w:rPr>
      <w:rFonts w:eastAsia="Times New Roman"/>
      <w:b w:val="1"/>
      <w:lang w:val="x-none"/>
    </w:rPr>
  </w:style>
  <w:style w:type="paragraph" w:styleId="BodyTextIndent3">
    <w:name w:val="Body Text Indent 3"/>
    <w:basedOn w:val="Normal"/>
    <w:link w:val="BodyTextIndent3Char"/>
    <w:uiPriority w:val="99"/>
    <w:pPr>
      <w:spacing w:line="360" w:lineRule="auto"/>
      <w:ind w:left="2160"/>
    </w:pPr>
    <w:rPr>
      <w:rFonts w:ascii="Times New Roman" w:hAnsi="Times New Roman"/>
      <w:szCs w:val="20"/>
    </w:rPr>
  </w:style>
  <w:style w:type="character" w:styleId="BodyTextIndent3Char" w:customStyle="1">
    <w:name w:val="Body Text Indent 3 Char"/>
    <w:link w:val="BodyTextIndent3"/>
    <w:uiPriority w:val="99"/>
    <w:rPr>
      <w:rFonts w:ascii="Times New Roman" w:hAnsi="Times New Roman"/>
      <w:sz w:val="22"/>
      <w:lang w:val="x-none"/>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hAnsi="Times New Roman"/>
      <w:b w:val="1"/>
      <w:caps w:val="1"/>
      <w:szCs w:val="20"/>
    </w:rPr>
  </w:style>
  <w:style w:type="paragraph" w:styleId="ListBullet">
    <w:name w:val="List Bullet"/>
    <w:basedOn w:val="Normal"/>
    <w:uiPriority w:val="99"/>
    <w:pPr>
      <w:numPr>
        <w:numId w:val="5"/>
      </w:numPr>
      <w:spacing w:line="360" w:lineRule="auto"/>
    </w:pPr>
    <w:rPr>
      <w:rFonts w:ascii="Times New Roman" w:hAnsi="Times New Roman"/>
      <w:szCs w:val="20"/>
    </w:rPr>
  </w:style>
  <w:style w:type="paragraph" w:styleId="TOAHeading">
    <w:name w:val="toa heading"/>
    <w:basedOn w:val="Normal"/>
    <w:next w:val="Normal"/>
    <w:uiPriority w:val="99"/>
    <w:pPr>
      <w:spacing w:before="120" w:line="360" w:lineRule="auto"/>
    </w:pPr>
    <w:rPr>
      <w:rFonts w:ascii="Times New Roman" w:hAnsi="Times New Roman"/>
      <w:b w:val="1"/>
      <w:szCs w:val="20"/>
    </w:rPr>
  </w:style>
  <w:style w:type="paragraph" w:styleId="Title">
    <w:name w:val="Title"/>
    <w:basedOn w:val="Normal"/>
    <w:link w:val="TitleChar"/>
    <w:uiPriority w:val="10"/>
    <w:qFormat w:val="1"/>
    <w:pPr>
      <w:spacing w:after="60" w:before="240" w:line="360" w:lineRule="auto"/>
      <w:jc w:val="center"/>
    </w:pPr>
    <w:rPr>
      <w:rFonts w:ascii="Arial" w:hAnsi="Arial"/>
      <w:b w:val="1"/>
      <w:kern w:val="28"/>
      <w:sz w:val="32"/>
      <w:szCs w:val="20"/>
    </w:rPr>
  </w:style>
  <w:style w:type="character" w:styleId="TitleChar" w:customStyle="1">
    <w:name w:val="Title Char"/>
    <w:link w:val="Title"/>
    <w:uiPriority w:val="10"/>
    <w:rPr>
      <w:rFonts w:ascii="Arial" w:hAnsi="Arial"/>
      <w:b w:val="1"/>
      <w:kern w:val="28"/>
      <w:sz w:val="32"/>
      <w:lang w:val="x-none"/>
    </w:rPr>
  </w:style>
  <w:style w:type="paragraph" w:styleId="ListBullet2">
    <w:name w:val="List Bullet 2"/>
    <w:basedOn w:val="Normal"/>
    <w:uiPriority w:val="99"/>
    <w:pPr>
      <w:numPr>
        <w:numId w:val="6"/>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z w:val="24"/>
      <w:szCs w:val="20"/>
      <w:lang w:val="en-US"/>
    </w:rPr>
  </w:style>
  <w:style w:type="paragraph" w:styleId="msolistparagraph0" w:customStyle="1">
    <w:name w:val="msolistparagraph"/>
    <w:basedOn w:val="Normal"/>
    <w:pPr>
      <w:spacing w:after="0"/>
      <w:ind w:left="720"/>
    </w:pPr>
  </w:style>
  <w:style w:type="character" w:styleId="Hyperlink">
    <w:name w:val="Hyperlink"/>
    <w:uiPriority w:val="99"/>
    <w:rPr>
      <w:color w:val="0000ff"/>
      <w:u w:val="single"/>
    </w:rPr>
  </w:style>
  <w:style w:type="paragraph" w:styleId="TOC1">
    <w:name w:val="toc 1"/>
    <w:basedOn w:val="Normal"/>
    <w:next w:val="Normal"/>
    <w:autoRedefine w:val="1"/>
    <w:uiPriority w:val="39"/>
    <w:pPr>
      <w:spacing w:line="360" w:lineRule="auto"/>
    </w:pPr>
    <w:rPr>
      <w:rFonts w:ascii="Times New Roman" w:hAnsi="Times New Roman"/>
      <w:szCs w:val="20"/>
    </w:rPr>
  </w:style>
  <w:style w:type="paragraph" w:styleId="TOC2">
    <w:name w:val="toc 2"/>
    <w:basedOn w:val="Normal"/>
    <w:next w:val="Normal"/>
    <w:autoRedefine w:val="1"/>
    <w:uiPriority w:val="39"/>
    <w:pPr>
      <w:spacing w:line="360" w:lineRule="auto"/>
      <w:ind w:left="220"/>
    </w:pPr>
    <w:rPr>
      <w:rFonts w:ascii="Times New Roman" w:hAnsi="Times New Roman"/>
      <w:szCs w:val="20"/>
    </w:rPr>
  </w:style>
  <w:style w:type="paragraph" w:styleId="TOC3">
    <w:name w:val="toc 3"/>
    <w:basedOn w:val="Normal"/>
    <w:next w:val="Normal"/>
    <w:autoRedefine w:val="1"/>
    <w:uiPriority w:val="39"/>
    <w:pPr>
      <w:spacing w:line="360" w:lineRule="auto"/>
      <w:ind w:left="440"/>
    </w:pPr>
    <w:rPr>
      <w:rFonts w:ascii="Times New Roman" w:hAnsi="Times New Roman"/>
      <w:szCs w:val="20"/>
    </w:rPr>
  </w:style>
  <w:style w:type="paragraph" w:styleId="TOC4">
    <w:name w:val="toc 4"/>
    <w:basedOn w:val="Normal"/>
    <w:next w:val="Normal"/>
    <w:autoRedefine w:val="1"/>
    <w:uiPriority w:val="39"/>
    <w:pPr>
      <w:spacing w:line="360" w:lineRule="auto"/>
      <w:ind w:left="660"/>
    </w:pPr>
    <w:rPr>
      <w:rFonts w:ascii="Times New Roman" w:hAnsi="Times New Roman"/>
      <w:szCs w:val="20"/>
    </w:rPr>
  </w:style>
  <w:style w:type="paragraph" w:styleId="TOC5">
    <w:name w:val="toc 5"/>
    <w:basedOn w:val="Normal"/>
    <w:next w:val="Normal"/>
    <w:autoRedefine w:val="1"/>
    <w:uiPriority w:val="39"/>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uiPriority w:val="39"/>
    <w:pPr>
      <w:spacing w:line="360" w:lineRule="auto"/>
      <w:ind w:left="1320"/>
    </w:pPr>
    <w:rPr>
      <w:rFonts w:ascii="Times New Roman" w:hAnsi="Times New Roman"/>
      <w:szCs w:val="20"/>
    </w:rPr>
  </w:style>
  <w:style w:type="paragraph" w:styleId="TOC8">
    <w:name w:val="toc 8"/>
    <w:basedOn w:val="Normal"/>
    <w:next w:val="Normal"/>
    <w:autoRedefine w:val="1"/>
    <w:uiPriority w:val="39"/>
    <w:pPr>
      <w:spacing w:line="360" w:lineRule="auto"/>
      <w:ind w:left="1540"/>
    </w:pPr>
    <w:rPr>
      <w:rFonts w:ascii="Times New Roman" w:hAnsi="Times New Roman"/>
      <w:szCs w:val="20"/>
    </w:rPr>
  </w:style>
  <w:style w:type="paragraph" w:styleId="TOC9">
    <w:name w:val="toc 9"/>
    <w:basedOn w:val="Normal"/>
    <w:next w:val="Normal"/>
    <w:autoRedefine w:val="1"/>
    <w:uiPriority w:val="39"/>
    <w:pPr>
      <w:spacing w:line="360" w:lineRule="auto"/>
      <w:ind w:left="1760"/>
    </w:pPr>
    <w:rPr>
      <w:rFonts w:ascii="Times New Roman" w:hAnsi="Times New Roman"/>
      <w:szCs w:val="20"/>
    </w:rPr>
  </w:style>
  <w:style w:type="character" w:styleId="FollowedHyperlink">
    <w:name w:val="FollowedHyperlink"/>
    <w:uiPriority w:val="99"/>
    <w:rPr>
      <w:color w:val="800080"/>
      <w:u w:val="single"/>
    </w:rPr>
  </w:style>
  <w:style w:type="paragraph" w:styleId="BlockText">
    <w:name w:val="Block Text"/>
    <w:basedOn w:val="Normal"/>
    <w:uiPriority w:val="99"/>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uiPriority w:val="99"/>
    <w:pPr>
      <w:shd w:color="auto" w:fill="000080" w:val="clear"/>
      <w:spacing w:line="360" w:lineRule="auto"/>
    </w:pPr>
    <w:rPr>
      <w:rFonts w:ascii="Tahoma" w:cs="Tahoma" w:hAnsi="Tahoma"/>
      <w:sz w:val="20"/>
      <w:szCs w:val="20"/>
    </w:rPr>
  </w:style>
  <w:style w:type="character" w:styleId="DocumentMapChar" w:customStyle="1">
    <w:name w:val="Document Map Char"/>
    <w:link w:val="DocumentMap"/>
    <w:uiPriority w:val="99"/>
    <w:rPr>
      <w:rFonts w:ascii="Tahoma" w:hAnsi="Tahoma"/>
      <w:shd w:color="auto" w:fill="000080" w:val="clear"/>
      <w:lang w:val="x-none"/>
    </w:rPr>
  </w:style>
  <w:style w:type="paragraph" w:styleId="blueheading" w:customStyle="1">
    <w:name w:val="blueheading"/>
    <w:basedOn w:val="Normal"/>
    <w:pPr>
      <w:spacing w:after="100" w:afterAutospacing="1" w:before="100" w:beforeAutospacing="1"/>
    </w:pPr>
    <w:rPr>
      <w:rFonts w:ascii="Times New Roman" w:hAnsi="Times New Roman"/>
      <w:sz w:val="24"/>
      <w:szCs w:val="24"/>
    </w:rPr>
  </w:style>
  <w:style w:type="paragraph" w:styleId="Default" w:customStyle="1">
    <w:name w:val="Default"/>
    <w:uiPriority w:val="99"/>
    <w:pPr>
      <w:autoSpaceDE w:val="0"/>
      <w:autoSpaceDN w:val="0"/>
      <w:adjustRightInd w:val="0"/>
    </w:pPr>
    <w:rPr>
      <w:rFonts w:ascii="Times New Roman" w:hAnsi="Times New Roman"/>
      <w:color w:val="000000"/>
      <w:sz w:val="24"/>
      <w:szCs w:val="24"/>
      <w:lang w:val="en-US"/>
    </w:rPr>
  </w:style>
  <w:style w:type="paragraph" w:styleId="EndnoteText">
    <w:name w:val="endnote text"/>
    <w:basedOn w:val="Normal"/>
    <w:link w:val="EndnoteTextChar"/>
    <w:uiPriority w:val="99"/>
    <w:pPr>
      <w:widowControl w:val="0"/>
      <w:spacing w:after="0"/>
    </w:pPr>
    <w:rPr>
      <w:rFonts w:ascii="Courier" w:hAnsi="Courier"/>
      <w:sz w:val="24"/>
      <w:szCs w:val="20"/>
    </w:rPr>
  </w:style>
  <w:style w:type="character" w:styleId="EndnoteTextChar" w:customStyle="1">
    <w:name w:val="Endnote Text Char"/>
    <w:link w:val="EndnoteText"/>
    <w:uiPriority w:val="99"/>
    <w:rPr>
      <w:rFonts w:ascii="Courier" w:hAnsi="Courier"/>
      <w:sz w:val="24"/>
      <w:lang w:val="x-none"/>
    </w:rPr>
  </w:style>
  <w:style w:type="character" w:styleId="EndnoteReference">
    <w:name w:val="endnote reference"/>
    <w:uiPriority w:val="99"/>
    <w:rPr>
      <w:vertAlign w:val="superscript"/>
    </w:rPr>
  </w:style>
  <w:style w:type="paragraph" w:styleId="bullet" w:customStyle="1">
    <w:name w:val="bullet"/>
    <w:basedOn w:val="Normal"/>
    <w:pPr>
      <w:tabs>
        <w:tab w:val="num" w:pos="360"/>
      </w:tabs>
      <w:spacing w:after="0" w:before="120"/>
      <w:ind w:left="360" w:hanging="360"/>
    </w:pPr>
    <w:rPr>
      <w:rFonts w:ascii="Times New Roman" w:hAnsi="Times New Roman"/>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uiPriority w:val="99"/>
    <w:pPr>
      <w:spacing w:after="0" w:before="320" w:line="320" w:lineRule="atLeast"/>
    </w:pPr>
    <w:rPr>
      <w:rFonts w:ascii="Arial" w:hAnsi="Arial"/>
      <w:szCs w:val="20"/>
    </w:rPr>
  </w:style>
  <w:style w:type="character" w:styleId="text0Char" w:customStyle="1">
    <w:name w:val="text 0 Char"/>
    <w:uiPriority w:val="99"/>
    <w:rPr>
      <w:rFonts w:ascii="Arial" w:hAnsi="Arial"/>
      <w:sz w:val="22"/>
      <w:lang w:val="x-none"/>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autoSpaceDE w:val="0"/>
      <w:autoSpaceDN w:val="0"/>
      <w:adjustRightInd w:val="0"/>
      <w:spacing w:before="320" w:line="320" w:lineRule="atLeast"/>
      <w:jc w:val="both"/>
    </w:pPr>
    <w:rPr>
      <w:rFonts w:ascii="Arial" w:hAnsi="Arial"/>
      <w:color w:val="ff0000"/>
      <w:sz w:val="22"/>
      <w:szCs w:val="22"/>
    </w:rPr>
  </w:style>
  <w:style w:type="paragraph" w:styleId="ScheduleNumber1" w:customStyle="1">
    <w:name w:val="Schedule Number 1"/>
    <w:pPr>
      <w:keepNext w:val="1"/>
      <w:keepLines w:val="1"/>
      <w:tabs>
        <w:tab w:val="num" w:pos="360"/>
      </w:tabs>
      <w:autoSpaceDE w:val="0"/>
      <w:autoSpaceDN w:val="0"/>
      <w:adjustRightInd w:val="0"/>
      <w:spacing w:before="320" w:line="320" w:lineRule="atLeast"/>
      <w:jc w:val="both"/>
    </w:pPr>
    <w:rPr>
      <w:rFonts w:ascii="Arial" w:hAnsi="Arial"/>
      <w:sz w:val="22"/>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ListParagraph">
    <w:name w:val="List Paragraph"/>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pPr>
      <w:spacing w:after="0"/>
    </w:pPr>
    <w:rPr>
      <w:rFonts w:ascii="Times New Roman" w:hAnsi="Times New Roman"/>
      <w:sz w:val="24"/>
      <w:szCs w:val="24"/>
    </w:rPr>
  </w:style>
  <w:style w:type="character" w:styleId="Emphasis">
    <w:name w:val="Emphasis"/>
    <w:uiPriority w:val="20"/>
    <w:qFormat w:val="1"/>
    <w:rPr>
      <w:i w:val="1"/>
    </w:rPr>
  </w:style>
  <w:style w:type="character" w:styleId="Strong">
    <w:name w:val="Strong"/>
    <w:uiPriority w:val="22"/>
    <w:qFormat w:val="1"/>
    <w:rPr>
      <w:b w:val="1"/>
    </w:rPr>
  </w:style>
  <w:style w:type="paragraph" w:styleId="Level2" w:customStyle="1">
    <w:name w:val="Level 2"/>
    <w:basedOn w:val="Normal"/>
    <w:uiPriority w:val="99"/>
    <w:pPr>
      <w:tabs>
        <w:tab w:val="num" w:pos="851"/>
      </w:tabs>
      <w:ind w:left="851" w:hanging="851"/>
      <w:outlineLvl w:val="1"/>
    </w:pPr>
    <w:rPr>
      <w:rFonts w:ascii="Arial" w:hAnsi="Arial"/>
      <w:sz w:val="20"/>
      <w:szCs w:val="20"/>
    </w:rPr>
  </w:style>
  <w:style w:type="paragraph" w:styleId="Level3" w:customStyle="1">
    <w:name w:val="Level 3"/>
    <w:basedOn w:val="Normal"/>
    <w:uiPriority w:val="99"/>
    <w:pPr>
      <w:tabs>
        <w:tab w:val="num" w:pos="1702"/>
      </w:tabs>
      <w:ind w:left="1702" w:hanging="851"/>
      <w:outlineLvl w:val="2"/>
    </w:pPr>
    <w:rPr>
      <w:rFonts w:ascii="Arial" w:hAnsi="Arial"/>
      <w:sz w:val="20"/>
      <w:szCs w:val="20"/>
    </w:rPr>
  </w:style>
  <w:style w:type="paragraph" w:styleId="Level4" w:customStyle="1">
    <w:name w:val="Level 4"/>
    <w:basedOn w:val="Normal"/>
    <w:uiPriority w:val="99"/>
    <w:pPr>
      <w:tabs>
        <w:tab w:val="num" w:pos="2553"/>
      </w:tabs>
      <w:ind w:left="2553" w:hanging="851"/>
      <w:outlineLvl w:val="3"/>
    </w:pPr>
    <w:rPr>
      <w:rFonts w:ascii="Arial" w:hAnsi="Arial"/>
      <w:sz w:val="20"/>
      <w:szCs w:val="20"/>
    </w:rPr>
  </w:style>
  <w:style w:type="paragraph" w:styleId="Level5" w:customStyle="1">
    <w:name w:val="Level 5"/>
    <w:basedOn w:val="Normal"/>
    <w:uiPriority w:val="99"/>
    <w:pPr>
      <w:tabs>
        <w:tab w:val="num" w:pos="3404"/>
      </w:tabs>
      <w:ind w:left="3404" w:hanging="851"/>
      <w:outlineLvl w:val="4"/>
    </w:pPr>
    <w:rPr>
      <w:rFonts w:ascii="Arial" w:hAnsi="Arial"/>
      <w:sz w:val="20"/>
      <w:szCs w:val="20"/>
    </w:rPr>
  </w:style>
  <w:style w:type="paragraph" w:styleId="Level6" w:customStyle="1">
    <w:name w:val="Level 6"/>
    <w:basedOn w:val="Normal"/>
    <w:uiPriority w:val="99"/>
    <w:pPr>
      <w:tabs>
        <w:tab w:val="num" w:pos="4255"/>
      </w:tabs>
      <w:ind w:left="4255" w:hanging="851"/>
      <w:outlineLvl w:val="5"/>
    </w:pPr>
    <w:rPr>
      <w:rFonts w:ascii="Arial" w:hAnsi="Arial"/>
      <w:sz w:val="20"/>
      <w:szCs w:val="20"/>
    </w:rPr>
  </w:style>
  <w:style w:type="paragraph" w:styleId="MOJStyle0" w:customStyle="1">
    <w:name w:val="MOJ Style0"/>
    <w:basedOn w:val="Normal"/>
    <w:autoRedefine w:val="1"/>
    <w:uiPriority w:val="99"/>
    <w:pPr>
      <w:numPr>
        <w:numId w:val="7"/>
      </w:numPr>
      <w:suppressAutoHyphens w:val="1"/>
      <w:spacing w:after="0" w:line="360" w:lineRule="auto"/>
    </w:pPr>
    <w:rPr>
      <w:rFonts w:ascii="Arial" w:eastAsia="MS Mincho" w:hAnsi="Arial"/>
      <w:b w:val="1"/>
    </w:rPr>
  </w:style>
  <w:style w:type="paragraph" w:styleId="MOJLevel1" w:customStyle="1">
    <w:name w:val="MOJ Level 1"/>
    <w:basedOn w:val="Normal"/>
    <w:next w:val="MOJLevel2"/>
    <w:autoRedefine w:val="1"/>
    <w:uiPriority w:val="99"/>
    <w:pPr>
      <w:numPr>
        <w:ilvl w:val="1"/>
        <w:numId w:val="7"/>
      </w:numPr>
      <w:suppressAutoHyphens w:val="1"/>
      <w:spacing w:after="0" w:before="240" w:line="360" w:lineRule="auto"/>
    </w:pPr>
    <w:rPr>
      <w:rFonts w:ascii="Arial" w:eastAsia="MS Mincho" w:hAnsi="Arial"/>
      <w:b w:val="1"/>
    </w:rPr>
  </w:style>
  <w:style w:type="paragraph" w:styleId="MOJLevel2" w:customStyle="1">
    <w:name w:val="MOJ Level 2"/>
    <w:basedOn w:val="Normal"/>
    <w:autoRedefine w:val="1"/>
    <w:uiPriority w:val="99"/>
    <w:pPr>
      <w:numPr>
        <w:ilvl w:val="2"/>
        <w:numId w:val="7"/>
      </w:numPr>
      <w:spacing w:after="0" w:line="360" w:lineRule="auto"/>
    </w:pPr>
    <w:rPr>
      <w:rFonts w:ascii="Arial" w:eastAsia="MS Mincho" w:hAnsi="Arial"/>
    </w:rPr>
  </w:style>
  <w:style w:type="paragraph" w:styleId="MOJLevel3" w:customStyle="1">
    <w:name w:val="MOJ Level 3"/>
    <w:basedOn w:val="Normal"/>
    <w:autoRedefine w:val="1"/>
    <w:uiPriority w:val="99"/>
    <w:pPr>
      <w:numPr>
        <w:ilvl w:val="3"/>
        <w:numId w:val="7"/>
      </w:numPr>
      <w:tabs>
        <w:tab w:val="num" w:pos="1620"/>
      </w:tabs>
      <w:spacing w:after="0" w:line="360" w:lineRule="auto"/>
    </w:pPr>
    <w:rPr>
      <w:rFonts w:ascii="Arial" w:eastAsia="MS Mincho" w:hAnsi="Arial"/>
    </w:rPr>
  </w:style>
  <w:style w:type="paragraph" w:styleId="MOJLevel4" w:customStyle="1">
    <w:name w:val="MOJ Level 4"/>
    <w:basedOn w:val="Normal"/>
    <w:autoRedefine w:val="1"/>
    <w:uiPriority w:val="99"/>
    <w:pPr>
      <w:numPr>
        <w:ilvl w:val="4"/>
        <w:numId w:val="7"/>
      </w:numPr>
      <w:spacing w:after="0" w:line="360" w:lineRule="auto"/>
    </w:pPr>
    <w:rPr>
      <w:rFonts w:ascii="Arial" w:eastAsia="MS Mincho" w:hAnsi="Arial"/>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rPr>
  </w:style>
  <w:style w:type="paragraph" w:styleId="DefinitionNumbering8" w:customStyle="1">
    <w:name w:val="Definition Numbering 8"/>
    <w:basedOn w:val="Normal"/>
    <w:pPr>
      <w:numPr>
        <w:ilvl w:val="7"/>
        <w:numId w:val="8"/>
      </w:numPr>
      <w:outlineLvl w:val="7"/>
    </w:pPr>
    <w:rPr>
      <w:rFonts w:ascii="Times New Roman" w:eastAsia="STZhongsong" w:hAnsi="Times New Roman"/>
      <w:szCs w:val="20"/>
    </w:rPr>
  </w:style>
  <w:style w:type="paragraph" w:styleId="DefinitionNumbering9" w:customStyle="1">
    <w:name w:val="Definition Numbering 9"/>
    <w:basedOn w:val="Normal"/>
    <w:pPr>
      <w:numPr>
        <w:ilvl w:val="8"/>
        <w:numId w:val="8"/>
      </w:numPr>
      <w:outlineLvl w:val="8"/>
    </w:pPr>
    <w:rPr>
      <w:rFonts w:ascii="Times New Roman" w:eastAsia="STZhongsong" w:hAnsi="Times New Roman"/>
      <w:szCs w:val="20"/>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rPr>
  </w:style>
  <w:style w:type="paragraph" w:styleId="Body" w:customStyle="1">
    <w:name w:val="Body"/>
    <w:basedOn w:val="Normal"/>
    <w:rPr>
      <w:rFonts w:ascii="Arial" w:hAnsi="Arial"/>
      <w:szCs w:val="20"/>
    </w:rPr>
  </w:style>
  <w:style w:type="paragraph" w:styleId="heading2numberedbutnotbold" w:customStyle="1">
    <w:name w:val="heading 2 numbered but not bold"/>
    <w:basedOn w:val="Heading2"/>
    <w:qFormat w:val="1"/>
    <w:pPr>
      <w:keepNext w:val="0"/>
      <w:keepLines w:val="0"/>
      <w:tabs>
        <w:tab w:val="num" w:pos="1713"/>
      </w:tabs>
      <w:ind w:left="1713"/>
    </w:pPr>
    <w:rPr>
      <w:rFonts w:ascii="Arial" w:eastAsia="STZhongsong" w:hAnsi="Arial"/>
      <w:b w:val="0"/>
      <w:sz w:val="20"/>
      <w:szCs w:val="20"/>
    </w:rPr>
  </w:style>
  <w:style w:type="character" w:styleId="heading2numberedbutnotboldChar" w:customStyle="1">
    <w:name w:val="heading 2 numbered but not bold Char"/>
    <w:rPr>
      <w:rFonts w:ascii="Arial" w:eastAsia="STZhongsong" w:hAnsi="Arial"/>
      <w:lang w:val="x-none"/>
    </w:rPr>
  </w:style>
  <w:style w:type="paragraph" w:styleId="PartHeadingboldcentered" w:customStyle="1">
    <w:name w:val="Part Heading bold centered"/>
    <w:basedOn w:val="MarginText"/>
    <w:qFormat w:val="1"/>
    <w:pPr>
      <w:keepNext w:val="1"/>
      <w:ind w:left="0"/>
      <w:jc w:val="center"/>
    </w:pPr>
    <w:rPr>
      <w:rFonts w:ascii="Arial" w:eastAsia="STZhongsong" w:hAnsi="Arial"/>
      <w:b w:val="1"/>
      <w:sz w:val="20"/>
      <w:szCs w:val="20"/>
    </w:rPr>
  </w:style>
  <w:style w:type="character" w:styleId="PartHeadingboldcenteredChar" w:customStyle="1">
    <w:name w:val="Part Heading bold centered Char"/>
    <w:rPr>
      <w:rFonts w:ascii="Arial" w:eastAsia="STZhongsong" w:hAnsi="Arial"/>
      <w:b w:val="1"/>
      <w:lang w:val="x-none"/>
    </w:rPr>
  </w:style>
  <w:style w:type="paragraph" w:styleId="ScheduleL1" w:customStyle="1">
    <w:name w:val="Schedule L1"/>
    <w:basedOn w:val="Normal"/>
    <w:pPr>
      <w:keepNext w:val="1"/>
      <w:numPr>
        <w:numId w:val="17"/>
      </w:numPr>
      <w:spacing w:before="120"/>
      <w:outlineLvl w:val="0"/>
    </w:pPr>
    <w:rPr>
      <w:rFonts w:cs="Times New Roman" w:eastAsia="STZhongsong"/>
      <w:b w:val="1"/>
      <w:caps w:val="1"/>
      <w:szCs w:val="20"/>
    </w:rPr>
  </w:style>
  <w:style w:type="paragraph" w:styleId="ScheduleL2" w:customStyle="1">
    <w:name w:val="Schedule L2"/>
    <w:basedOn w:val="Normal"/>
    <w:pPr>
      <w:numPr>
        <w:ilvl w:val="1"/>
        <w:numId w:val="17"/>
      </w:numPr>
      <w:tabs>
        <w:tab w:val="left" w:pos="993"/>
      </w:tabs>
      <w:spacing w:after="120" w:before="120"/>
      <w:outlineLvl w:val="1"/>
    </w:pPr>
    <w:rPr>
      <w:rFonts w:cs="Times New Roman" w:eastAsia="STZhongsong"/>
      <w:szCs w:val="20"/>
      <w:lang w:val="en-US"/>
    </w:rPr>
  </w:style>
  <w:style w:type="character" w:styleId="ScheduleL2Char" w:customStyle="1">
    <w:name w:val="Schedule L2 Char"/>
    <w:rPr>
      <w:rFonts w:eastAsia="STZhongsong"/>
      <w:sz w:val="22"/>
      <w:lang w:val="en-US"/>
    </w:rPr>
  </w:style>
  <w:style w:type="paragraph" w:styleId="ScheduleL3" w:customStyle="1">
    <w:name w:val="Schedule L3"/>
    <w:basedOn w:val="Normal"/>
    <w:pPr>
      <w:numPr>
        <w:ilvl w:val="2"/>
        <w:numId w:val="17"/>
      </w:numPr>
      <w:spacing w:after="120" w:before="120"/>
      <w:outlineLvl w:val="2"/>
    </w:pPr>
    <w:rPr>
      <w:rFonts w:cs="Times New Roman" w:eastAsia="STZhongsong"/>
      <w:szCs w:val="20"/>
    </w:rPr>
  </w:style>
  <w:style w:type="paragraph" w:styleId="ScheduleL4" w:customStyle="1">
    <w:name w:val="Schedule L4"/>
    <w:basedOn w:val="Normal"/>
    <w:pPr>
      <w:numPr>
        <w:ilvl w:val="3"/>
        <w:numId w:val="17"/>
      </w:numPr>
      <w:spacing w:after="120" w:before="120"/>
      <w:outlineLvl w:val="3"/>
    </w:pPr>
    <w:rPr>
      <w:rFonts w:cs="Times New Roman" w:eastAsia="STZhongsong"/>
      <w:szCs w:val="20"/>
    </w:rPr>
  </w:style>
  <w:style w:type="paragraph" w:styleId="ScheduleL5" w:customStyle="1">
    <w:name w:val="Schedule L5"/>
    <w:basedOn w:val="Normal"/>
    <w:pPr>
      <w:numPr>
        <w:ilvl w:val="4"/>
        <w:numId w:val="17"/>
      </w:numPr>
      <w:outlineLvl w:val="4"/>
    </w:pPr>
    <w:rPr>
      <w:rFonts w:ascii="Times New Roman" w:cs="Times New Roman" w:eastAsia="STZhongsong" w:hAnsi="Times New Roman"/>
      <w:szCs w:val="20"/>
    </w:rPr>
  </w:style>
  <w:style w:type="paragraph" w:styleId="ScheduleL6" w:customStyle="1">
    <w:name w:val="Schedule L6"/>
    <w:basedOn w:val="Normal"/>
    <w:pPr>
      <w:numPr>
        <w:ilvl w:val="5"/>
        <w:numId w:val="17"/>
      </w:numPr>
      <w:outlineLvl w:val="5"/>
    </w:pPr>
    <w:rPr>
      <w:rFonts w:ascii="Times New Roman" w:eastAsia="STZhongsong" w:hAnsi="Times New Roman"/>
      <w:szCs w:val="20"/>
    </w:rPr>
  </w:style>
  <w:style w:type="paragraph" w:styleId="ScheduleL7" w:customStyle="1">
    <w:name w:val="Schedule L7"/>
    <w:basedOn w:val="Normal"/>
    <w:pPr>
      <w:numPr>
        <w:ilvl w:val="6"/>
        <w:numId w:val="17"/>
      </w:numPr>
      <w:outlineLvl w:val="6"/>
    </w:pPr>
    <w:rPr>
      <w:rFonts w:ascii="Times New Roman" w:eastAsia="STZhongsong" w:hAnsi="Times New Roman"/>
      <w:szCs w:val="20"/>
    </w:rPr>
  </w:style>
  <w:style w:type="paragraph" w:styleId="ScheduleL8" w:customStyle="1">
    <w:name w:val="Schedule L8"/>
    <w:basedOn w:val="Normal"/>
    <w:pPr>
      <w:numPr>
        <w:ilvl w:val="7"/>
        <w:numId w:val="17"/>
      </w:numPr>
      <w:outlineLvl w:val="7"/>
    </w:pPr>
    <w:rPr>
      <w:rFonts w:ascii="Times New Roman" w:eastAsia="STZhongsong" w:hAnsi="Times New Roman"/>
      <w:szCs w:val="20"/>
    </w:rPr>
  </w:style>
  <w:style w:type="paragraph" w:styleId="ScheduleL9" w:customStyle="1">
    <w:name w:val="Schedule L9"/>
    <w:basedOn w:val="Normal"/>
    <w:pPr>
      <w:numPr>
        <w:ilvl w:val="8"/>
        <w:numId w:val="17"/>
      </w:numPr>
      <w:outlineLvl w:val="8"/>
    </w:pPr>
    <w:rPr>
      <w:rFonts w:ascii="Times New Roman" w:eastAsia="STZhongsong" w:hAnsi="Times New Roman"/>
      <w:szCs w:val="20"/>
    </w:rPr>
  </w:style>
  <w:style w:type="paragraph" w:styleId="bodystrong" w:customStyle="1">
    <w:name w:val="body strong"/>
    <w:basedOn w:val="Body"/>
    <w:pPr>
      <w:spacing w:after="0"/>
      <w:jc w:val="left"/>
    </w:pPr>
    <w:rPr>
      <w:rFonts w:cs="Times New Roman" w:eastAsia="SimSun"/>
      <w:b w:val="1"/>
      <w:sz w:val="20"/>
      <w:szCs w:val="24"/>
    </w:rPr>
  </w:style>
  <w:style w:type="character" w:styleId="bodystrongChar" w:customStyle="1">
    <w:name w:val="body strong Char"/>
    <w:rPr>
      <w:rFonts w:ascii="Arial" w:eastAsia="SimSun" w:hAnsi="Arial"/>
      <w:b w:val="1"/>
      <w:sz w:val="24"/>
      <w:lang w:val="x-none"/>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9"/>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9"/>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hAnsi="Times New Roman"/>
      <w:szCs w:val="20"/>
    </w:rPr>
  </w:style>
  <w:style w:type="paragraph" w:styleId="StyleHeading3ServiceConformance3Arial" w:customStyle="1">
    <w:name w:val="Style Heading 3Service Conformance 3 + Arial"/>
    <w:basedOn w:val="Heading3"/>
    <w:pPr>
      <w:keepLines w:val="0"/>
      <w:numPr>
        <w:ilvl w:val="0"/>
        <w:numId w:val="0"/>
      </w:numPr>
      <w:tabs>
        <w:tab w:val="num" w:pos="0"/>
      </w:tabs>
      <w:spacing w:line="360" w:lineRule="auto"/>
      <w:ind w:left="2194" w:hanging="737"/>
    </w:pPr>
    <w:rPr>
      <w:rFonts w:ascii="Times New Roman" w:hAnsi="Times New Roman"/>
      <w:szCs w:val="20"/>
    </w:rPr>
  </w:style>
  <w:style w:type="character" w:styleId="StyleHeading3ServiceConformance3ArialCharChar" w:customStyle="1">
    <w:name w:val="Style Heading 3Service Conformance 3 + Arial Char Char"/>
    <w:rPr>
      <w:rFonts w:ascii="Times New Roman" w:hAnsi="Times New Roman"/>
      <w:sz w:val="22"/>
      <w:lang w:val="x-none"/>
    </w:rPr>
  </w:style>
  <w:style w:type="paragraph" w:styleId="StyleHeading5ServiceConformance4HeadingHeading5unusedLev" w:customStyle="1">
    <w:name w:val="Style Heading 5Service Conformance 4HeadingHeading 5(unused)Lev..."/>
    <w:basedOn w:val="Heading5"/>
    <w:pPr>
      <w:keepLines w:val="0"/>
      <w:spacing w:line="360" w:lineRule="auto"/>
      <w:ind w:left="720" w:hanging="720"/>
      <w:jc w:val="left"/>
    </w:pPr>
    <w:rPr>
      <w:rFonts w:ascii="Times New Roman" w:hAnsi="Times New Roman"/>
      <w:szCs w:val="20"/>
    </w:rPr>
  </w:style>
  <w:style w:type="character" w:styleId="StyleHeading5ServiceConformance4HeadingHeading5unusedLevChar" w:customStyle="1">
    <w:name w:val="Style Heading 5Service Conformance 4HeadingHeading 5(unused)Lev... Char"/>
    <w:rPr>
      <w:rFonts w:ascii="Times New Roman" w:hAnsi="Times New Roman"/>
      <w:sz w:val="22"/>
      <w:lang w:val="x-none"/>
    </w:rPr>
  </w:style>
  <w:style w:type="character" w:styleId="PlaceholderText">
    <w:name w:val="Placeholder Text"/>
    <w:uiPriority w:val="99"/>
    <w:rPr>
      <w:color w:val="808080"/>
    </w:rPr>
  </w:style>
  <w:style w:type="paragraph" w:styleId="FFWLevel1" w:customStyle="1">
    <w:name w:val="FFW Level 1"/>
    <w:basedOn w:val="Normal"/>
    <w:next w:val="FFWLevel2"/>
    <w:pPr>
      <w:keepNext w:val="1"/>
      <w:numPr>
        <w:numId w:val="10"/>
      </w:numPr>
      <w:spacing w:after="0" w:before="240" w:line="260" w:lineRule="atLeast"/>
    </w:pPr>
    <w:rPr>
      <w:rFonts w:ascii="Arial" w:hAnsi="Arial"/>
      <w:b w:val="1"/>
      <w:sz w:val="20"/>
      <w:szCs w:val="24"/>
    </w:rPr>
  </w:style>
  <w:style w:type="paragraph" w:styleId="FFWLevel2" w:customStyle="1">
    <w:name w:val="FFW Level 2"/>
    <w:basedOn w:val="Normal"/>
    <w:pPr>
      <w:numPr>
        <w:ilvl w:val="1"/>
        <w:numId w:val="10"/>
      </w:numPr>
      <w:spacing w:after="0" w:before="240" w:line="260" w:lineRule="atLeast"/>
    </w:pPr>
    <w:rPr>
      <w:rFonts w:ascii="Arial" w:hAnsi="Arial"/>
      <w:sz w:val="20"/>
      <w:szCs w:val="24"/>
    </w:rPr>
  </w:style>
  <w:style w:type="character" w:styleId="FFWLevel2Char" w:customStyle="1">
    <w:name w:val="FFW Level 2 Char"/>
    <w:rPr>
      <w:rFonts w:ascii="Arial" w:hAnsi="Arial"/>
      <w:sz w:val="24"/>
      <w:lang w:val="x-none"/>
    </w:rPr>
  </w:style>
  <w:style w:type="paragraph" w:styleId="FFWLevel3" w:customStyle="1">
    <w:name w:val="FFW Level 3"/>
    <w:basedOn w:val="Normal"/>
    <w:pPr>
      <w:numPr>
        <w:ilvl w:val="3"/>
        <w:numId w:val="10"/>
      </w:numPr>
      <w:spacing w:after="0" w:before="240" w:line="260" w:lineRule="atLeast"/>
    </w:pPr>
    <w:rPr>
      <w:rFonts w:ascii="Arial" w:hAnsi="Arial"/>
      <w:sz w:val="20"/>
      <w:szCs w:val="24"/>
    </w:rPr>
  </w:style>
  <w:style w:type="paragraph" w:styleId="FFWLevel4" w:customStyle="1">
    <w:name w:val="FFW Level 4"/>
    <w:basedOn w:val="Normal"/>
    <w:pPr>
      <w:tabs>
        <w:tab w:val="num" w:pos="1587"/>
      </w:tabs>
      <w:spacing w:after="0" w:before="240" w:line="260" w:lineRule="atLeast"/>
      <w:ind w:left="1587" w:hanging="793"/>
    </w:pPr>
    <w:rPr>
      <w:rFonts w:ascii="Arial" w:hAnsi="Arial"/>
      <w:sz w:val="20"/>
      <w:szCs w:val="24"/>
    </w:rPr>
  </w:style>
  <w:style w:type="character" w:styleId="FFWLevel4Char" w:customStyle="1">
    <w:name w:val="FFW Level 4 Char"/>
    <w:rPr>
      <w:rFonts w:ascii="Arial" w:hAnsi="Arial"/>
      <w:sz w:val="24"/>
      <w:lang w:val="x-none"/>
    </w:rPr>
  </w:style>
  <w:style w:type="paragraph" w:styleId="FFWLevel5" w:customStyle="1">
    <w:name w:val="FFW Level 5"/>
    <w:basedOn w:val="Normal"/>
    <w:pPr>
      <w:tabs>
        <w:tab w:val="num" w:pos="2381"/>
      </w:tabs>
      <w:spacing w:after="0" w:before="240" w:line="260" w:lineRule="atLeast"/>
      <w:ind w:left="2381" w:hanging="794"/>
    </w:pPr>
    <w:rPr>
      <w:rFonts w:ascii="Arial" w:hAnsi="Arial"/>
      <w:sz w:val="20"/>
      <w:szCs w:val="24"/>
    </w:rPr>
  </w:style>
  <w:style w:type="paragraph" w:styleId="FFWLevel6" w:customStyle="1">
    <w:name w:val="FFW Level 6"/>
    <w:basedOn w:val="Normal"/>
    <w:pPr>
      <w:numPr>
        <w:ilvl w:val="5"/>
        <w:numId w:val="10"/>
      </w:numPr>
      <w:spacing w:after="0" w:before="240" w:line="260" w:lineRule="atLeast"/>
    </w:pPr>
    <w:rPr>
      <w:rFonts w:ascii="Arial" w:hAnsi="Arial"/>
      <w:sz w:val="20"/>
      <w:szCs w:val="24"/>
    </w:rPr>
  </w:style>
  <w:style w:type="paragraph" w:styleId="FFWBody1" w:customStyle="1">
    <w:name w:val="FFW Body 1"/>
    <w:basedOn w:val="Normal"/>
    <w:pPr>
      <w:spacing w:after="0" w:before="240" w:line="260" w:lineRule="atLeast"/>
      <w:ind w:left="794"/>
    </w:pPr>
    <w:rPr>
      <w:rFonts w:ascii="Arial" w:hAnsi="Arial"/>
      <w:sz w:val="20"/>
      <w:szCs w:val="24"/>
    </w:rPr>
  </w:style>
  <w:style w:type="paragraph" w:styleId="FFWDefinitionColumnLevel1" w:customStyle="1">
    <w:name w:val="FFW Definition Column Level 1"/>
    <w:basedOn w:val="Normal"/>
    <w:pPr>
      <w:numPr>
        <w:numId w:val="11"/>
      </w:numPr>
      <w:spacing w:after="0" w:before="240" w:line="260" w:lineRule="atLeast"/>
    </w:pPr>
    <w:rPr>
      <w:rFonts w:ascii="Arial" w:hAnsi="Arial"/>
      <w:sz w:val="20"/>
      <w:szCs w:val="24"/>
    </w:rPr>
  </w:style>
  <w:style w:type="paragraph" w:styleId="FFWDefinitionColumnLevel2" w:customStyle="1">
    <w:name w:val="FFW Definition Column Level 2"/>
    <w:basedOn w:val="Normal"/>
    <w:pPr>
      <w:numPr>
        <w:ilvl w:val="1"/>
        <w:numId w:val="11"/>
      </w:numPr>
      <w:spacing w:after="0" w:before="240" w:line="260" w:lineRule="atLeast"/>
    </w:pPr>
    <w:rPr>
      <w:rFonts w:ascii="Arial" w:hAnsi="Arial"/>
      <w:sz w:val="20"/>
      <w:szCs w:val="24"/>
    </w:rPr>
  </w:style>
  <w:style w:type="paragraph" w:styleId="FFWBody3" w:customStyle="1">
    <w:name w:val="FFW Body 3"/>
    <w:basedOn w:val="Normal"/>
    <w:pPr>
      <w:spacing w:after="0" w:before="240" w:line="260" w:lineRule="atLeast"/>
      <w:ind w:left="794"/>
    </w:pPr>
    <w:rPr>
      <w:rFonts w:ascii="Arial" w:hAnsi="Arial"/>
      <w:sz w:val="20"/>
      <w:szCs w:val="20"/>
    </w:rPr>
  </w:style>
  <w:style w:type="paragraph" w:styleId="FFWDefinitionLevel1" w:customStyle="1">
    <w:name w:val="FFW Definition Level 1"/>
    <w:basedOn w:val="Normal"/>
    <w:pPr>
      <w:numPr>
        <w:numId w:val="12"/>
      </w:numPr>
      <w:spacing w:after="0" w:before="240" w:line="260" w:lineRule="atLeast"/>
    </w:pPr>
    <w:rPr>
      <w:rFonts w:ascii="Arial" w:hAnsi="Arial"/>
      <w:sz w:val="20"/>
      <w:szCs w:val="24"/>
    </w:rPr>
  </w:style>
  <w:style w:type="paragraph" w:styleId="NoSpacing">
    <w:name w:val="No Spacing"/>
    <w:uiPriority w:val="1"/>
    <w:qFormat w:val="1"/>
    <w:pPr>
      <w:autoSpaceDE w:val="0"/>
      <w:autoSpaceDN w:val="0"/>
      <w:adjustRightInd w:val="0"/>
    </w:pPr>
    <w:rPr>
      <w:rFonts w:ascii="Arial" w:cs="Arial" w:hAnsi="Arial"/>
      <w:sz w:val="24"/>
      <w:szCs w:val="24"/>
    </w:rPr>
  </w:style>
  <w:style w:type="paragraph" w:styleId="GPSSchTitleandNumber" w:customStyle="1">
    <w:name w:val="GPS Sch Title and Number"/>
    <w:basedOn w:val="Normal"/>
    <w:qFormat w:val="1"/>
    <w:pPr>
      <w:keepNext w:val="1"/>
      <w:ind w:firstLine="426"/>
      <w:jc w:val="center"/>
      <w:outlineLvl w:val="0"/>
    </w:pPr>
    <w:rPr>
      <w:rFonts w:ascii="Arial Bold" w:cs="Times New Roman" w:eastAsia="STZhongsong" w:hAnsi="Arial Bold"/>
      <w:b w:val="1"/>
      <w:caps w:val="1"/>
    </w:rPr>
  </w:style>
  <w:style w:type="character" w:styleId="GPSSchTitleandNumberChar" w:customStyle="1">
    <w:name w:val="GPS Sch Title and Number Char"/>
    <w:rPr>
      <w:rFonts w:ascii="Arial Bold" w:eastAsia="STZhongsong" w:hAnsi="Arial Bold"/>
      <w:b w:val="1"/>
      <w:caps w:val="1"/>
      <w:sz w:val="22"/>
      <w:lang w:val="x-none"/>
    </w:rPr>
  </w:style>
  <w:style w:type="paragraph" w:styleId="FFWDefinitionLevel2" w:customStyle="1">
    <w:name w:val="FFW Definition Level 2"/>
    <w:basedOn w:val="Normal"/>
    <w:pPr>
      <w:tabs>
        <w:tab w:val="num" w:pos="1587"/>
      </w:tabs>
      <w:spacing w:after="0" w:before="240" w:line="260" w:lineRule="atLeast"/>
      <w:ind w:left="1587" w:hanging="794"/>
    </w:pPr>
    <w:rPr>
      <w:rFonts w:ascii="Arial" w:hAnsi="Arial"/>
      <w:sz w:val="20"/>
      <w:szCs w:val="24"/>
    </w:r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pPr>
      <w:spacing w:after="120" w:line="480" w:lineRule="auto"/>
    </w:pPr>
  </w:style>
  <w:style w:type="character" w:styleId="BodyText2Char" w:customStyle="1">
    <w:name w:val="Body Text 2 Char"/>
    <w:link w:val="BodyText2"/>
    <w:uiPriority w:val="99"/>
    <w:rPr>
      <w:sz w:val="22"/>
      <w:lang w:val="x-none"/>
    </w:rPr>
  </w:style>
  <w:style w:type="paragraph" w:styleId="GPSL1CLAUSEHEADING" w:customStyle="1">
    <w:name w:val="GPS L1 CLAUSE HEADING"/>
    <w:basedOn w:val="Normal"/>
    <w:next w:val="Normal"/>
    <w:uiPriority w:val="99"/>
    <w:qFormat w:val="1"/>
    <w:pPr>
      <w:numPr>
        <w:numId w:val="16"/>
      </w:numPr>
      <w:tabs>
        <w:tab w:val="left" w:pos="142"/>
      </w:tabs>
      <w:spacing w:before="120"/>
      <w:outlineLvl w:val="1"/>
    </w:pPr>
    <w:rPr>
      <w:rFonts w:eastAsia="STZhongsong"/>
      <w:b w:val="1"/>
      <w:caps w:val="1"/>
    </w:rPr>
  </w:style>
  <w:style w:type="paragraph" w:styleId="GPSL2numberedclause" w:customStyle="1">
    <w:name w:val="GPS L2 numbered clause"/>
    <w:basedOn w:val="Normal"/>
    <w:qFormat w:val="1"/>
    <w:pPr>
      <w:tabs>
        <w:tab w:val="left" w:pos="1134"/>
      </w:tabs>
      <w:spacing w:after="120" w:before="120"/>
      <w:ind w:left="1134" w:hanging="567"/>
    </w:pPr>
  </w:style>
  <w:style w:type="paragraph" w:styleId="GPSL3numberedclause" w:customStyle="1">
    <w:name w:val="GPS L3 numbered clause"/>
    <w:basedOn w:val="Normal"/>
    <w:qFormat w:val="1"/>
    <w:pPr>
      <w:numPr>
        <w:ilvl w:val="2"/>
        <w:numId w:val="16"/>
      </w:numPr>
      <w:tabs>
        <w:tab w:val="left" w:pos="1985"/>
      </w:tabs>
      <w:spacing w:after="120" w:before="120"/>
    </w:pPr>
  </w:style>
  <w:style w:type="paragraph" w:styleId="GPSL4numberedclause" w:customStyle="1">
    <w:name w:val="GPS L4 numbered clause"/>
    <w:basedOn w:val="GPSL3numberedclause"/>
    <w:qFormat w:val="1"/>
    <w:pPr>
      <w:numPr>
        <w:ilvl w:val="3"/>
      </w:numPr>
      <w:tabs>
        <w:tab w:val="clear" w:pos="1985"/>
        <w:tab w:val="num" w:pos="1418"/>
      </w:tabs>
      <w:ind w:hanging="709"/>
    </w:pPr>
  </w:style>
  <w:style w:type="character" w:styleId="GPSL2numberedclauseChar1" w:customStyle="1">
    <w:name w:val="GPS L2 numbered clause Char1"/>
    <w:rPr>
      <w:rFonts w:eastAsia="Times New Roman"/>
      <w:sz w:val="22"/>
      <w:lang w:val="x-none"/>
    </w:rPr>
  </w:style>
  <w:style w:type="paragraph" w:styleId="GPSL5numberedclause" w:customStyle="1">
    <w:name w:val="GPS L5 numbered clause"/>
    <w:basedOn w:val="GPSL4numberedclause"/>
    <w:qFormat w:val="1"/>
    <w:pPr>
      <w:numPr>
        <w:ilvl w:val="4"/>
      </w:numPr>
      <w:tabs>
        <w:tab w:val="num" w:pos="1417"/>
        <w:tab w:val="left" w:pos="3119"/>
      </w:tabs>
    </w:pPr>
  </w:style>
  <w:style w:type="paragraph" w:styleId="GPSL6numbered" w:customStyle="1">
    <w:name w:val="GPS L6 numbered"/>
    <w:basedOn w:val="GPSL5numberedclause"/>
    <w:uiPriority w:val="99"/>
    <w:qFormat w:val="1"/>
    <w:pPr>
      <w:numPr>
        <w:ilvl w:val="5"/>
      </w:numPr>
      <w:tabs>
        <w:tab w:val="num" w:pos="2835"/>
        <w:tab w:val="left" w:pos="3686"/>
      </w:tabs>
      <w:ind w:left="3543" w:hanging="708"/>
    </w:pPr>
  </w:style>
  <w:style w:type="character" w:styleId="GPSL3numberedclauseChar" w:customStyle="1">
    <w:name w:val="GPS L3 numbered clause Char"/>
    <w:rPr>
      <w:rFonts w:eastAsia="Times New Roman"/>
      <w:sz w:val="22"/>
      <w:lang w:val="x-none"/>
    </w:rPr>
  </w:style>
  <w:style w:type="paragraph" w:styleId="Revision">
    <w:name w:val="Revision"/>
    <w:hidden w:val="1"/>
    <w:uiPriority w:val="99"/>
    <w:pPr>
      <w:autoSpaceDE w:val="0"/>
      <w:autoSpaceDN w:val="0"/>
      <w:adjustRightInd w:val="0"/>
    </w:pPr>
    <w:rPr>
      <w:sz w:val="22"/>
      <w:szCs w:val="22"/>
    </w:rPr>
  </w:style>
  <w:style w:type="paragraph" w:styleId="GPSL2Numbered" w:customStyle="1">
    <w:name w:val="GPS L2 Numbered"/>
    <w:basedOn w:val="GPSL2NumberedBoldHeading"/>
    <w:qFormat w:val="1"/>
    <w:pPr>
      <w:numPr>
        <w:ilvl w:val="0"/>
        <w:numId w:val="0"/>
      </w:numPr>
      <w:tabs>
        <w:tab w:val="clear" w:pos="1134"/>
      </w:tabs>
    </w:pPr>
    <w:rPr>
      <w:b w:val="0"/>
    </w:rPr>
  </w:style>
  <w:style w:type="character" w:styleId="GPSL2NumberedChar" w:customStyle="1">
    <w:name w:val="GPS L2 Numbered Char"/>
    <w:rPr>
      <w:rFonts w:eastAsia="Times New Roman"/>
      <w:sz w:val="22"/>
      <w:lang w:val="x-none"/>
    </w:rPr>
  </w:style>
  <w:style w:type="paragraph" w:styleId="GPSL1SCHEDULEHeading" w:customStyle="1">
    <w:name w:val="GPS L1 SCHEDULE Heading"/>
    <w:basedOn w:val="GPSL1CLAUSEHEADING"/>
    <w:qFormat w:val="1"/>
    <w:pPr>
      <w:numPr>
        <w:numId w:val="0"/>
      </w:numPr>
      <w:outlineLvl w:val="9"/>
    </w:pPr>
  </w:style>
  <w:style w:type="character" w:styleId="GPSL1SCHEDULEHeadingChar" w:customStyle="1">
    <w:name w:val="GPS L1 SCHEDULE Heading Char"/>
    <w:rPr>
      <w:rFonts w:eastAsia="STZhongsong"/>
      <w:b w:val="1"/>
      <w:caps w:val="1"/>
      <w:sz w:val="22"/>
      <w:lang w:val="x-none"/>
    </w:rPr>
  </w:style>
  <w:style w:type="paragraph" w:styleId="GPSL2NumberedBoldHeading" w:customStyle="1">
    <w:name w:val="GPS L2 Numbered Bold Heading"/>
    <w:basedOn w:val="Normal"/>
    <w:qFormat w:val="1"/>
    <w:pPr>
      <w:numPr>
        <w:ilvl w:val="1"/>
        <w:numId w:val="16"/>
      </w:numPr>
      <w:tabs>
        <w:tab w:val="left" w:pos="1134"/>
      </w:tabs>
      <w:spacing w:after="120" w:before="120"/>
    </w:pPr>
    <w:rPr>
      <w:b w:val="1"/>
    </w:rPr>
  </w:style>
  <w:style w:type="paragraph" w:styleId="GPsDefinition" w:customStyle="1">
    <w:name w:val="GPs Definition"/>
    <w:basedOn w:val="Normal"/>
    <w:uiPriority w:val="99"/>
    <w:qFormat w:val="1"/>
    <w:pPr>
      <w:numPr>
        <w:numId w:val="15"/>
      </w:numPr>
      <w:tabs>
        <w:tab w:val="left" w:pos="175"/>
      </w:tabs>
      <w:spacing w:after="120"/>
    </w:pPr>
  </w:style>
  <w:style w:type="paragraph" w:styleId="GPSDefinitionL2" w:customStyle="1">
    <w:name w:val="GPS Definition L2"/>
    <w:basedOn w:val="GPsDefinition"/>
    <w:uiPriority w:val="99"/>
    <w:qFormat w:val="1"/>
    <w:pPr>
      <w:numPr>
        <w:ilvl w:val="1"/>
      </w:numPr>
      <w:tabs>
        <w:tab w:val="num" w:pos="2381"/>
      </w:tabs>
    </w:pPr>
  </w:style>
  <w:style w:type="paragraph" w:styleId="GPSDefinitionL3" w:customStyle="1">
    <w:name w:val="GPS Definition L3"/>
    <w:basedOn w:val="GPSDefinitionL2"/>
    <w:uiPriority w:val="99"/>
    <w:qFormat w:val="1"/>
    <w:pPr>
      <w:numPr>
        <w:ilvl w:val="2"/>
      </w:numPr>
      <w:tabs>
        <w:tab w:val="num" w:pos="2381"/>
      </w:tabs>
      <w:ind w:hanging="794"/>
    </w:pPr>
  </w:style>
  <w:style w:type="paragraph" w:styleId="GPSDefinitionL4" w:customStyle="1">
    <w:name w:val="GPS Definition L4"/>
    <w:basedOn w:val="GPSDefinitionL3"/>
    <w:uiPriority w:val="99"/>
    <w:qFormat w:val="1"/>
    <w:pPr>
      <w:numPr>
        <w:ilvl w:val="3"/>
      </w:numPr>
      <w:tabs>
        <w:tab w:val="num" w:pos="2381"/>
      </w:tabs>
      <w:ind w:hanging="794"/>
    </w:pPr>
  </w:style>
  <w:style w:type="character" w:styleId="GPSL1CLAUSEHEADINGChar" w:customStyle="1">
    <w:name w:val="GPS L1 CLAUSE HEADING Char"/>
    <w:uiPriority w:val="99"/>
    <w:rPr>
      <w:rFonts w:eastAsia="STZhongsong"/>
      <w:b w:val="1"/>
      <w:caps w:val="1"/>
      <w:sz w:val="22"/>
      <w:lang w:val="x-none"/>
    </w:rPr>
  </w:style>
  <w:style w:type="character" w:styleId="GPSL2NumberedBoldHeadingChar" w:customStyle="1">
    <w:name w:val="GPS L2 Numbered Bold Heading Char"/>
    <w:rPr>
      <w:rFonts w:eastAsia="Times New Roman"/>
      <w:b w:val="1"/>
      <w:sz w:val="22"/>
      <w:lang w:val="x-none"/>
    </w:rPr>
  </w:style>
  <w:style w:type="character" w:styleId="GPSL4numberedclauseChar" w:customStyle="1">
    <w:name w:val="GPS L4 numbered clause Char"/>
    <w:rPr>
      <w:rFonts w:eastAsia="Times New Roman"/>
      <w:sz w:val="22"/>
      <w:lang w:val="x-none"/>
    </w:rPr>
  </w:style>
  <w:style w:type="character" w:styleId="GPSL5numberedclauseChar" w:customStyle="1">
    <w:name w:val="GPS L5 numbered clause Char"/>
    <w:rPr>
      <w:rFonts w:eastAsia="Times New Roman"/>
      <w:sz w:val="22"/>
      <w:lang w:val="x-none"/>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autoSpaceDE w:val="0"/>
      <w:autoSpaceDN w:val="0"/>
      <w:adjustRightInd w:val="0"/>
      <w:spacing w:after="80"/>
    </w:pPr>
    <w:rPr>
      <w:rFonts w:cs="Calibri"/>
      <w:color w:val="000000"/>
      <w:sz w:val="22"/>
      <w:szCs w:val="22"/>
    </w:rPr>
  </w:style>
  <w:style w:type="character" w:styleId="DeltaViewInsertion" w:customStyle="1">
    <w:name w:val="DeltaView Insertion"/>
    <w:uiPriority w:val="99"/>
    <w:rsid w:val="001A4BCC"/>
    <w:rPr>
      <w:color w:val="0000ff"/>
      <w:u w:val="double"/>
    </w:rPr>
  </w:style>
  <w:style w:type="character" w:styleId="DeltaViewDeletion" w:customStyle="1">
    <w:name w:val="DeltaView Deletion"/>
    <w:uiPriority w:val="99"/>
    <w:rsid w:val="001A4BCC"/>
    <w:rPr>
      <w:strike w:val="1"/>
      <w:color w:val="ff000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U0C86Pm699GgPXNr2EW64C/AcA==">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2022-09-23T00:00:00Z</dcterms:created>
</cp:coreProperties>
</file>